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Aptus Value Housing Finance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High-yield, high-ROE affordable housing financier (South India, self-employed borrowers, low LTV) compounding AUM ~22-24% with ~20% ROE and low leverage -- WestBridge PE fully exited (overhang cleared, absorbed by DIIs) -- but the stock has de-rated hard on asset-quality worry (GNPA creeping up, an ARC sale that may be masking early SBL defaults), yield-compression risk from SFB competition, and a blocked promoter AoA power-grab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Aptus lends for affordable home purchase/construction and small-business (LAP / micro-MSME) loans, mostly to self-employed borrowers in Tamil Nadu and neighbouring southern states, at high yields with low loan-to-value (portfolio avg LTV ~40%) and 16+ years of operating history. Promoter-led (M. Anandan / P. Balaji) with meaningful skin in the game.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12,800 Cr (large-cap; down ~19%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ROA</w:t>
            </w:r>
          </w:p>
        </w:tc>
        <w:tc>
          <w:tcPr>
            <w:tcW w:type="dxa" w:w="5800"/>
          </w:tcPr>
          <w:p>
            <w:r>
              <w:t xml:space="preserve">~20% / ~7.5% (unusually high ROA; leverage only ~2.5x)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</w:t>
            </w:r>
          </w:p>
        </w:tc>
        <w:tc>
          <w:tcPr>
            <w:tcW w:type="dxa" w:w="5800"/>
          </w:tcPr>
          <w:p>
            <w:r>
              <w:t xml:space="preserve">~Rs 13,600 Cr, +21% YoY; 5-yr AUM CAGR ~22-24% (vs industry ~5%)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5800"/>
          </w:tcPr>
          <w:p>
            <w:r>
              <w:t xml:space="preserve">~13% (very high; risky-segment yields)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GNPA</w:t>
            </w:r>
          </w:p>
        </w:tc>
        <w:tc>
          <w:tcPr>
            <w:tcW w:type="dxa" w:w="5800"/>
          </w:tcPr>
          <w:p>
            <w:r>
              <w:t xml:space="preserve">~1.55%, up ~6-30 bps in recent quarters; 30+ DPD &gt;5% (historically low for Aptus but high vs Aavas/Home First)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PCR</w:t>
            </w:r>
          </w:p>
        </w:tc>
        <w:tc>
          <w:tcPr>
            <w:tcW w:type="dxa" w:w="5800"/>
          </w:tcPr>
          <w:p>
            <w:r>
              <w:t xml:space="preserve">~87% on GNPA -- most conservative among affordable-HFC peers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</w:t>
            </w:r>
          </w:p>
        </w:tc>
        <w:tc>
          <w:tcPr>
            <w:tcW w:type="dxa" w:w="5800"/>
          </w:tcPr>
          <w:p>
            <w:r>
              <w:t xml:space="preserve">Q4 FY26 guidance 22-24% AUM growth FY27, stable yields/margins; Note 9(d) ARC sale of Rs 41.5 Cr gross (536 accounts) at ~60% haircut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5800"/>
          </w:tcPr>
          <w:p>
            <w:r>
              <w:t xml:space="preserve">WestBridge exited fully (Sep-2025), absorbed by Indian institutions; FIIs trimmed 35% -&gt; 30%, DIIs up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Operationally Aptus keeps beating: 20%+ AUM growth, ~20% ROE, ~7.5% ROA, conservative PCR, low LTV, disciplined (won't chase 30% growth). The market's problem is threefold: (1) asset quality -- GNPA and 30+ DPD are drifting up, and a recent ARC transaction sold current-generation SBL loans (avg ticket ~Rs 9 L, defaulting within ~2 years of disbursement) at a ~60% haircut, with one detailed forum analysis (rahsh) arguing reported GNPA would be ~1.9-2.0% without it and Stage-3 PCR of ~25% on the kept book looks light; (2) structural yield risk -- as SFBs and PE-funded HFCs pile into affordable housing, Aptus's high yields to 'uninformed' borrowers may not be sustainable (Vansh_Dhelia, trusted); (3) governance optics -- a promoter proposal to amend the AoA for board-nomination and affirmative rights was voted down by institutions in Feb-2026. Trusted users are engaged and mostly constructive on the franchise but wary on valuation and asset quality.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Stock in a sustained ~6-month downtrend; ~50% off its 2021 peak; negative return since IPO.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Deep, high-quality thread (134 posts; recent read from #84). Heavy trusted-user presence: Simrat posts detailed quarterly financial teardowns (12 love), harsh.beria93 and Sidharth_Chandraseka clarify collection-efficiency vs DPD and historical credit-cost data, Vansh_Dhelia (trusted) makes the structural yield-compression bear case, Hemant_Kumar2 (trusted) questions why a capital-surplus company pays dividends instead of deploying. Non-trusted contributors (Jatin1, pramaan, rahsh, Shivam_Jindal) add strong analytical posts -- the ARC/PCR concern (rahsh) is the sharpest recent bear point. Overall: a quality franchise the community respects, priced down on real asset-quality and yield concerns; no unanimous conviction 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trusted (elevated) users are engaged and broadly respect the franchise, but the net tone is 'good company, real concerns, not obviously cheap' -- constructive-neutral, not a buy conviction. No core-tier signal; no conviction floor.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2025-05-12 — Vansh_Dhelia</w:t>
      </w:r>
      <w:r>
        <w:rPr>
          <w:i/>
          <w:iCs/>
          <w:color w:val="666666"/>
          <w:sz w:val="18"/>
          <w:szCs w:val="18"/>
        </w:rPr>
        <w:t xml:space="preserve"> (Aptus Value Housing : Is valuation justified or just another HFC?)</w:t>
      </w:r>
      <w:r>
        <w:rPr>
          <w:sz w:val="20"/>
          <w:szCs w:val="20"/>
        </w:rPr>
        <w:br/>
        <w:t xml:space="preserve">: Structural bear -- high yields depend on 'uninformed' self-employed borrowers; as SFBs and govt schemes offer cheaper credit, the size of the profitable non-defaulting market may shrink and yields compress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2025-05-08 — Simrat</w:t>
      </w:r>
      <w:r>
        <w:rPr>
          <w:i/>
          <w:iCs/>
          <w:color w:val="666666"/>
          <w:sz w:val="18"/>
          <w:szCs w:val="18"/>
        </w:rPr>
        <w:t xml:space="preserve"> (Aptus Value Housing : Is valuation justified or just another HFC?)</w:t>
      </w:r>
      <w:r>
        <w:rPr>
          <w:sz w:val="20"/>
          <w:szCs w:val="20"/>
        </w:rPr>
        <w:br/>
        <w:t xml:space="preserve">: Analytical / constructive -- Aptus does the most conservative ECL provisioning of the three affordable HFCs (PCR ~87% vs 46-61%), 'proactively provisioning, punishing P&amp;L' -- reads as a sign of prudence, not weakness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 red flags. Watch-items: promoter AoA amendment (board-nomination + affirmative rights) rejected by institutional shareholders Feb-2026; promoter-holding pledge ~47.6% of a ~40% promoter stake (stated as capital-raising related); rising GNPA / 30+ DPD; an ARC sale that may be flattering reported GNPA.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20%+ AUM CAGR with ~20% ROE, ~7.5% ROA and only ~2.5x leverage -- rare combination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LTV (~40%), most conservative PCR among affordable-HFC peers, 16+ years of operating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WestBridge PE overhang fully cleared (Sep-2025), absorbed by Indian institutions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skin in the game; disciplined -- won't chase 30% growth at the cost of underwriting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De-rated to ~50% off its peak; DIIs accumulating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12,800 Cr) HFC -- a 10x outcome would need ~Rs 1.3 lakh Cr, not plausible in the thesis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GNPA and 30+ DPD drifting up; ARC sale of current-gen SBL loans at ~60% haircut may be masking early defaults; kept-book Stage-3 PCR ~25% looks light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yields to weak-documentation borrowers face structural compression as SFBs/PE-HFCs compete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optics: blocked promoter AoA power-grab; promoter-stake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return since IPO; multiple de-rating with no clear catalyst to re-rate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12,800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high-quality affordable HFC, but large-cap size plus real asset-quality and yield-compression questions put it outside the multi-bagger thesis --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large-cap rule, default to 'neither' absent a specific named inflection -- there is none here; if anything the near-term data (GNPA up, ARC sale, yield risk) points the other way. A ~20% compounder is plausible but that is not the open-screen thesis.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filtered on quality -- the underwriting discipline and conservative provisioning are genuine strengths -- it simply doesn't fit 10x/100x.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 AVOID/EXCLUDE. The blocked AoA amendment and promoter pledge are governance watch-items, not a defined red-flag tier.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no live-theme keyword hit in discovery (recency discovery).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if GNPA stabilises for 2+ quarters with no further ARC offloads AND the stock re-rates off a clear asset-quality all-clear.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2026-08-30T17:57:33.905Z</dcterms:created>
  <dcterms:modified xsi:type="dcterms:W3CDTF">2026-08-30T17:57:33.909Z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