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Aries Agro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50-year-old micronutrient/specialty-fertilizer maker showing a genuine value-led margin inflection and an import-substitution tailwind, against a long history of crowded-market skepticism and one boom-bust cycle already lived through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Aries Agro (est. 1969) is a market leader in chelation technology for micronutrients in India, offering water-soluble NPK fertilizers, chelates, secondary nutrients, biological products and agro-equipment, with a UAE subsidiary (Mirabelle Agro / specialized sulphur products) and domestic capacity of 143,400 MT (FY26, up from 137,400 MT FY25).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630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13.7% / 21.2%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15.08% (vs industry median 9.00%); profit CAGR 19.0% over 5yr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detail</w:t>
            </w:r>
          </w:p>
        </w:tc>
        <w:tc>
          <w:tcPr>
            <w:tcW w:type="dxa" w:w="5800"/>
          </w:tcPr>
          <w:p>
            <w:r>
              <w:t xml:space="preserve">Volume growth only 1%, but value growth 19.6% — mix-shift to value-added/higher-margin products; domestic capacity utilisation 76.32%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52.66%, 0% pledged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285 - 518 (CMP Rs484)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textbook weak-trailing/live-inflection case: a skeptical 2019 forum post noted 10-year PAT growth of only Rs5cr to Rs8cr, and the stock crashed &gt;50% in 2018-19 after a Vijay Kedia-driven hype cycle. But FY26 shows a real margin-quality shift — value growth (19.6%) far outpacing volume growth (1%), i.e. genuine mix-upgrade to higher-margin products, not just price inflation. Management guides ~15% PAT growth for FY27 on 6% sales growth (per advance bookings), with the UAE turnaround (temporarily disrupted by a facility shift) still to come.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120 posts (2018-2026, first-time analysis). Long arc: 2018 Vijay-Kedia-driven retail hype and confusing shareholding-disclosure disputes, followed by a sharp crash and multi-year skepticism (2019, 'this company is just chaff'), then a 2025-2026 revival narrative built on import substitution (China halting fertilizer exports to India), a value/margin-mix inflection, and working-capital discipline.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vikasbargale (trusted, elevated) flagged the business as cash-positive for a decade with drastically improving debtor days/cash-conversion/working-capital cycles at 'such valuations' (Aug-2025), but also explicitly flagged regulatory price-control risk (citing the IEX precedent) and Chinese dumping risk as real caveats (Oct-2025). pranavpallod12 (trusted, elevated) built the 'turnaround &amp; import-substitution' thesis (Dec-2025, 9 loves) and most recently (Sep-2026, same-day posts) confirmed FY26 was a 'brilliant performance... without one of the major turnaround catalysts (UAE operations)' still to come, guiding ~15% PAT growth for FY27. Countervailing, older but substantive: a working-in-industry distributor (RadheyShyam_Aggarwal, 9 loves, 2018) said there's 'no brand pull' and ~100 similar micronutrient sellers compete purely on credit terms and margin-to-trade — a real, unresolved differentiation question the recent bulls don't directly address.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2026-09-04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2025-10-24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2025-08-25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Chairman's FY26 speech (per SITARA, Sep-2025) cites new product launches (Aries Ecoshield, Majorsol Soybean &amp; Pulses Special, Calmax, Zinc HD Gold) and equipment innovations.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recent margin-quality inflection: FY26 value growth (19.6%) far outpaces volume growth (1%) — real mix-shift to higher-margin, value-added products, not just price hikes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Import-substitution tailwind is specific and cited with news backing: China halted fertilizer exports to India; Aries doesn't source raw material from China and isn't in the general NPK/urea category subject to the same dynamics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Zero/near-zero working-capital requirement per the advance-order dealer model (orders fixed with advance payment) — a structurally favourable cash-conversion setup that a trusted user independently verified as decade-long and improving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UAE-subsidiary turnaround (Mirabelle Agro, temporarily disrupted by a facility relocation) is a stated future catalyst not yet reflected in FY26's 'brilliant'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promoter-pledge picture (0% pledged) and management guiding ~15% PAT growth for FY27 on visible advance-booking data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genuine, unresolved differentiation question from an industry-insider distributor: ~100 similarly-sized companies sell comparable micronutrients with 'no brand pull,' competing purely on credit period and trade margin — this directly undercuts the 'chelation technology leadership'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10-year PAT growth prior to the recent inflection was extremely weak (Rs5cr to Rs8cr per a detailed 2019 forum critique) — this is a company with a real history of disappointing, not just a cyclical dip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lived through one full hype-and-crash cycle (2018 Vijay Kedia-driven rally, &gt;50% crash by 2019) — the current 2025-2026 bull narrative echoes some of the same 'story stock' pattern-matching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Regulatory price-control risk explicitly flagged by a trusted user (citing the recent IEX precedent) and Chinese-dumping risk both remain live, unresolved threats to the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in the current active_themes.json — a bottom-up discovery candidate, not a thematic tailwind hit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630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specific, sourced import-substitution catalyst (China halted fertilizer exports to India) plus a genuine FY26 value/margin-mix inflection (19.6% value growth vs 1% volume growth). TAM weak: micronutrient/specialty-fertilizer niche is real but crowded, per an industry-insider trusted account of ~100 similar competitors. Moat weak: 'chelation technology leadership' claim is directly contested in-thread by someone in the distribution trade ('no brand pull'). Valuation yes: Rs630cr cap against 21.2% ROCE, a decade of cash-positive operation, and improving working-capital metrics per a trusted user's independent check.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margin-mix inflection with a specific import-substitution catalyst, but a crowded-market differentiation question and a prior boom-bust history keep conviction capped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— recency/discovery candidate (discover.py), not a thematic hit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Trailing-average-vs-live-inflection rule applied directly: weak historical (10yr) profit growth plus a genuine, quantified recent-year inflection (19.6% value growth on 1% volume growth) and a specific, sourced catalyst (China export halt/import substitution) — permits the 10x label at capped conviction with an explicit unconfirmed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3.0 (tailwind yes, valuation yes, tam/moat weak) independently clears the bar; moat/tam kept weak given the trusted industry-insider's explicit 'no brand pull, ~100 similar sellers' critique, which the recent bullish posts don't directly rebut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 given the crowded-market/differentiation question, real regulatory and Chinese-dumping risks flagged by a trusted user, and the stock's own history of a hype-driven boom-bust cycle in 2018-19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2026-09-05T13:17:15.277Z</dcterms:created>
  <dcterms:modified xsi:type="dcterms:W3CDTF">2026-09-05T13:17:15.284Z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