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Arman Financial Services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Ahmedabad-based NBFC (two-wheeler finance + group microfinance via Namra Finance) working through a sector-wide MFI asset-quality stress cycle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Arman Financial Services is an Ahmedabad-based NBFC promoted by Jayendra Patel, offering Two-Wheeler Finance, Group-Based Microfinance, and Micro-Enterprise (MSME) Loans, largely through subsidiary Namra Finance, across 392 MFI branches serving ~6.56 lakh active customers in 11 states.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2,071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11.7% / 6.26%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17.8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1.43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income growth (FY25)</w:t>
            </w:r>
          </w:p>
        </w:tc>
        <w:tc>
          <w:tcPr>
            <w:tcW w:type="dxa" w:w="5800"/>
          </w:tcPr>
          <w:p>
            <w:r>
              <w:t xml:space="preserve">36.23%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1,301 - 2,159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ROE (6.26%) is currently depressed relative to Arman's historical profile, consistent with the broader Indian microfinance sector's asset-quality stress cycle over FY24-25. Revenue/operating income growth remains strong (36% FY25). Debt/equity of 1.43 is normal for an NBFC funding a loan book. Not a red-flag balance sheet, but current profitability is below what the business has shown historically.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stock trades roughly mid-range of its 52-week band (Rs 1,301-2,159).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Long-running, very active VP thread (528 posts since 2014, last activity 2026-06-12) — this is a well-tracked, community-vetted NBFC, not a fresh/undiscovered name.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bennathan (2026-06-12, 12 loves) rebutted a bear case alleging Arman uses 'structural labels to mask high-risk lending', pointing out Arman's peak GNPA (4.1%, Q3 FY25) is far below peer Fusion Finance's (12.58%), and framing the recent cost-to-income increase as a deliberate lending/collections-team split to improve underwriting discipline, with management targeting ~Rs 5,000 Cr AUM. Reasoned and specific, but posts_seen=1 for this user so not yet logged as a repeat high-conviction contributor.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surfaced in search.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Best-in-class asset quality within the stressed MFI peer group (GNPA 4.1% vs. peers &gt;12%)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36% operating income growth despite sector headwinds shows underlying demand resilience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Long, well-documented VP community track record (12+ years) with active bull/bear debate keeping thesis honest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toward ~Rs 5,000 Cr AUM (from a Rs 2,071 Cr market cap base)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(6.26%) currently well below what a quality NBFC should post — sector-wide MFI stress is a real, ongoing risk, not fully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Debt/equity of 1.43 means leverage amplifies any further asset-quality deterioration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Microfinance-linked NBFCs are politically/regulatory sensitive (loan-waiver risk, state-level interventions)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2,000 Cr market cap with single-digit ROE, this is a steady-compounder profile, not an obvious multi-bagger setup right now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2,071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Well-run, well-covered NBFC riding out a sector stress cycle — not a clear 10x/100x setup at current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Best-in-peer-group asset quality and strong top-line growth are genuine positives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ROE of 6.26% and NBFC leverage profile don't fit the thesis's 10x-in-2-3-years or 100x-in-10-years bar without a re-rating catalyst beyond sector recovery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flags; a name to watch for ROE recovery rather than act on now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2026-08-22T02:10:11.749Z</dcterms:created>
  <dcterms:modified xsi:type="dcterms:W3CDTF">2026-08-22T02:10:11.753Z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