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Asahi Songwon Colors Ltd</w:t>
      </w:r>
    </w:p>
    <w:p>
      <w:pPr>
        <w:pBdr>
          <w:bottom w:val="single" w:color="CCCCCC" w:sz="6" w:space="8"/>
        </w:pBdr>
        <w:spacing w:after="200"/>
      </w:pPr>
      <w:r>
        <w:rPr>
          <w:i/>
          <w:iCs/>
          <w:color w:val="666666"/>
          <w:sz w:val="22"/>
          <w:szCs w:val="22"/>
        </w:rPr>
        <w:t xml:space="preserve">Blue-pigment maker with a years-long, still-unproven Azo-pigment + API diversification - weak returns and a dead thread mean the old Tier A call does not survive a fresh look</w:t>
      </w:r>
    </w:p>
    <w:p>
      <w:pPr>
        <w:pStyle w:val="Heading1"/>
        <w:spacing w:after="120" w:before="280"/>
      </w:pPr>
      <w:r>
        <w:t xml:space="preserve">Business Overview</w:t>
      </w:r>
    </w:p>
    <w:p>
      <w:pPr>
        <w:spacing w:after="120"/>
      </w:pPr>
      <w:r>
        <w:t xml:space="preserve">Asahi Songwon Colors (incorporated 1990) is a leading manufacturer of blue (phthalocyanine / CPC) pigments for inks, plastics, paints, textiles and paper. It has diversified into Azo pigments (yellow/red/orange) via a 50:50 Dahej JV, and into APIs (anti-convulsant / anti-psychotic / anti-diabetic) through the 2022 acquisition of Atlas Life Sciences.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342 Cr (small-cap)</w:t>
            </w:r>
          </w:p>
        </w:tc>
      </w:tr>
      <w:tr>
        <w:tc>
          <w:tcPr>
            <w:tcW w:type="dxa" w:w="3200"/>
            <w:shd w:fill="F2F2F2" w:val="clear"/>
          </w:tcPr>
          <w:p>
            <w:r>
              <w:rPr>
                <w:b/>
                <w:bCs/>
              </w:rPr>
              <w:t xml:space="preserve">ROCE / ROE</w:t>
            </w:r>
          </w:p>
        </w:tc>
        <w:tc>
          <w:tcPr>
            <w:tcW w:type="dxa" w:w="5800"/>
          </w:tcPr>
          <w:p>
            <w:r>
              <w:t xml:space="preserve">~8.5% / ~7.1% (weak)</w:t>
            </w:r>
          </w:p>
        </w:tc>
      </w:tr>
      <w:tr>
        <w:tc>
          <w:tcPr>
            <w:tcW w:type="dxa" w:w="3200"/>
            <w:shd w:fill="F2F2F2" w:val="clear"/>
          </w:tcPr>
          <w:p>
            <w:r>
              <w:rPr>
                <w:b/>
                <w:bCs/>
              </w:rPr>
              <w:t xml:space="preserve">Stock P/E</w:t>
            </w:r>
          </w:p>
        </w:tc>
        <w:tc>
          <w:tcPr>
            <w:tcW w:type="dxa" w:w="5800"/>
          </w:tcPr>
          <w:p>
            <w:r>
              <w:t xml:space="preserve">~18x</w:t>
            </w:r>
          </w:p>
        </w:tc>
      </w:tr>
      <w:tr>
        <w:tc>
          <w:tcPr>
            <w:tcW w:type="dxa" w:w="3200"/>
            <w:shd w:fill="F2F2F2" w:val="clear"/>
          </w:tcPr>
          <w:p>
            <w:r>
              <w:rPr>
                <w:b/>
                <w:bCs/>
              </w:rPr>
              <w:t xml:space="preserve">Book value</w:t>
            </w:r>
          </w:p>
        </w:tc>
        <w:tc>
          <w:tcPr>
            <w:tcW w:type="dxa" w:w="5800"/>
          </w:tcPr>
          <w:p>
            <w:r>
              <w:t xml:space="preserve">~Rs 230</w:t>
            </w:r>
          </w:p>
        </w:tc>
      </w:tr>
      <w:tr>
        <w:tc>
          <w:tcPr>
            <w:tcW w:type="dxa" w:w="3200"/>
            <w:shd w:fill="F2F2F2" w:val="clear"/>
          </w:tcPr>
          <w:p>
            <w:r>
              <w:rPr>
                <w:b/>
                <w:bCs/>
              </w:rPr>
              <w:t xml:space="preserve">52-week range</w:t>
            </w:r>
          </w:p>
        </w:tc>
        <w:tc>
          <w:tcPr>
            <w:tcW w:type="dxa" w:w="5800"/>
          </w:tcPr>
          <w:p>
            <w:r>
              <w:t xml:space="preserve">Rs 179 - 463 (stock has re-rated ~2.5x off the low)</w:t>
            </w:r>
          </w:p>
        </w:tc>
      </w:tr>
    </w:tbl>
    <w:p>
      <w:pPr>
        <w:spacing w:after="100"/>
      </w:pPr>
    </w:p>
    <w:p>
      <w:pPr>
        <w:spacing w:after="120"/>
      </w:pPr>
      <w:r>
        <w:t xml:space="preserve">The stock has re-rated ~2.5x off its 52-week low, but the underlying returns remain weak (ROE ~7%, ROCE ~8.5%). The two diversification bets - the Dahej Azo-pigment JV and the Atlas API business - have been slow: as of the last thread post (Dec 2023) the Azo subsidiary was still making EBIT losses in Q1 and Q2 FY24 despite earlier 'breaking even' commentary, and the CFO had resigned in 2021. Legacy screen flagged a possible interest-capitalisation accounting question that was never independently resolved.</w:t>
      </w:r>
    </w:p>
    <w:p>
      <w:pPr>
        <w:pStyle w:val="Heading1"/>
        <w:spacing w:after="120" w:before="280"/>
      </w:pPr>
      <w:r>
        <w:t xml:space="preserve">Technical Read (Weekly / Monthly MACD + Bollinger Bands, or RSI/CCI/Williams %R proxy)</w:t>
      </w:r>
    </w:p>
    <w:p>
      <w:pPr>
        <w:spacing w:after="120"/>
      </w:pPr>
      <w:r>
        <w:t xml:space="preserve">Not independently pulled; price has recovered strongly from the Rs 179 low but returns have not followed.</w:t>
      </w:r>
    </w:p>
    <w:p>
      <w:pPr>
        <w:pStyle w:val="Heading1"/>
        <w:spacing w:after="120" w:before="280"/>
      </w:pPr>
      <w:r>
        <w:t xml:space="preserve">ValuePickr Community Signal</w:t>
      </w:r>
    </w:p>
    <w:p>
      <w:pPr>
        <w:spacing w:after="120"/>
      </w:pPr>
      <w:r>
        <w:t xml:space="preserve">Full thread read (topic 2296, 'Asahi Songwon - steady performer', 36 posts, 2017 - Dec 2023). Discussion covered the China+1 opportunity, the Dahej Azo JV (Rs 82 Cr capex, 2,400 MT capacity), promoter creeping-acquisition, the API pivot and a land-sale-funded debt reduction. The thread has been silent for ~2.5 years and the last substantive post is a negative note on continued Azo-subsidiary EBIT losses.</w:t>
      </w:r>
    </w:p>
    <w:p>
      <w:pPr>
        <w:spacing w:after="120"/>
      </w:pPr>
      <w:r>
        <w:rPr>
          <w:b/>
          <w:bCs/>
          <w:sz w:val="20"/>
          <w:szCs w:val="20"/>
        </w:rPr>
        <w:t xml:space="preserve">High-conviction call from a top contributor: </w:t>
      </w:r>
      <w:r>
        <w:rPr>
          <w:sz w:val="20"/>
          <w:szCs w:val="20"/>
        </w:rPr>
        <w:t xml:space="preserve">No trusted-roster users. A few 'invested' disclosures from 2021-2023 hoping the Azo/API bets pay off; no dated high-conviction call, and no posts since Dec 2023.</w:t>
      </w:r>
    </w:p>
    <w:p>
      <w:pPr>
        <w:pStyle w:val="Heading1"/>
        <w:spacing w:after="120" w:before="280"/>
      </w:pPr>
      <w:r>
        <w:t xml:space="preserve">BSE Corporate Actions / Other Red Flags</w:t>
      </w:r>
    </w:p>
    <w:p>
      <w:pPr>
        <w:spacing w:after="120"/>
      </w:pPr>
      <w:r>
        <w:t xml:space="preserve">2022 acquisition of Atlas Life Sciences (100% in tranches); land sale used to cut debt (2023). CFO resignation (2021). Nothing regulatory adverse surfaced.</w:t>
      </w:r>
    </w:p>
    <w:p>
      <w:pPr>
        <w:pStyle w:val="Heading1"/>
        <w:spacing w:after="120" w:before="280"/>
      </w:pPr>
      <w:r>
        <w:t xml:space="preserve">Bull Case</w:t>
      </w:r>
    </w:p>
    <w:p>
      <w:pPr>
        <w:pStyle w:val="ListParagraph"/>
        <w:numPr>
          <w:ilvl w:val="0"/>
          <w:numId w:val="1"/>
        </w:numPr>
        <w:spacing w:after="60"/>
      </w:pPr>
      <w:r>
        <w:t xml:space="preserve">Established blue-pigment player with a China+1 export angle and rising promoter holding</w:t>
      </w:r>
    </w:p>
    <w:p>
      <w:pPr>
        <w:pStyle w:val="ListParagraph"/>
        <w:numPr>
          <w:ilvl w:val="0"/>
          <w:numId w:val="1"/>
        </w:numPr>
        <w:spacing w:after="60"/>
      </w:pPr>
      <w:r>
        <w:t xml:space="preserve">Optionality from the Azo-pigment JV and the API business if utilisation and margins finally scale</w:t>
      </w:r>
    </w:p>
    <w:p>
      <w:pPr>
        <w:pStyle w:val="ListParagraph"/>
        <w:numPr>
          <w:ilvl w:val="0"/>
          <w:numId w:val="1"/>
        </w:numPr>
        <w:spacing w:after="60"/>
      </w:pPr>
      <w:r>
        <w:t xml:space="preserve">Low P/B (~1x book) if the margin-recovery thesis eventually plays out</w:t>
      </w:r>
    </w:p>
    <w:p>
      <w:pPr>
        <w:pStyle w:val="Heading1"/>
        <w:spacing w:after="120" w:before="280"/>
      </w:pPr>
      <w:r>
        <w:t xml:space="preserve">Bear Case / Key Risks</w:t>
      </w:r>
    </w:p>
    <w:p>
      <w:pPr>
        <w:pStyle w:val="ListParagraph"/>
        <w:numPr>
          <w:ilvl w:val="0"/>
          <w:numId w:val="1"/>
        </w:numPr>
        <w:spacing w:after="60"/>
      </w:pPr>
      <w:r>
        <w:t xml:space="preserve">ROE ~7% / ROCE ~8.5% - persistently below the cost of capital</w:t>
      </w:r>
    </w:p>
    <w:p>
      <w:pPr>
        <w:pStyle w:val="ListParagraph"/>
        <w:numPr>
          <w:ilvl w:val="0"/>
          <w:numId w:val="1"/>
        </w:numPr>
        <w:spacing w:after="60"/>
      </w:pPr>
      <w:r>
        <w:t xml:space="preserve">Azo JV and API diversification have under-delivered for 3+ years (Azo still loss-making at last update)</w:t>
      </w:r>
    </w:p>
    <w:p>
      <w:pPr>
        <w:pStyle w:val="ListParagraph"/>
        <w:numPr>
          <w:ilvl w:val="0"/>
          <w:numId w:val="1"/>
        </w:numPr>
        <w:spacing w:after="60"/>
      </w:pPr>
      <w:r>
        <w:t xml:space="preserve">Unresolved interest-capitalisation accounting flag from the legacy screen; a CFO resignation in the interim</w:t>
      </w:r>
    </w:p>
    <w:p>
      <w:pPr>
        <w:pStyle w:val="ListParagraph"/>
        <w:numPr>
          <w:ilvl w:val="0"/>
          <w:numId w:val="1"/>
        </w:numPr>
        <w:spacing w:after="60"/>
      </w:pPr>
      <w:r>
        <w:t xml:space="preserve">VP thread dead since Dec 2023 - no fresh community conviction, and the price has already re-rated ~2.5x</w:t>
      </w:r>
    </w:p>
    <w:p>
      <w:pPr>
        <w:pStyle w:val="Heading1"/>
        <w:spacing w:after="120" w:before="280"/>
      </w:pPr>
      <w:r>
        <w:t xml:space="preserve">Market-Cap Tier (informational — not a gate in this project)</w:t>
      </w:r>
    </w:p>
    <w:p>
      <w:pPr>
        <w:spacing w:after="120"/>
      </w:pPr>
      <w:r>
        <w:rPr>
          <w:b/>
          <w:bCs/>
        </w:rPr>
        <w:t xml:space="preserve">Small-cap (~Rs 342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Weak returns and a stalled, unproven diversification - the price re-rated but the business has not</w:t>
      </w:r>
    </w:p>
    <w:p>
      <w:pPr>
        <w:pStyle w:val="ListParagraph"/>
        <w:numPr>
          <w:ilvl w:val="0"/>
          <w:numId w:val="1"/>
        </w:numPr>
        <w:spacing w:after="60"/>
      </w:pPr>
      <w:r>
        <w:t xml:space="preserve">Legacy-108-screen seed (old bucket Tier A 'plausible margin-recovery candidate - needs the accounting-quality question answered and a few more clean quarters', frozen 2026-08-15) - under a fresh look the old Tier A does NOT hold: returns are still weak, the Azo/API bets are still unproven, the accounting question is still open and the thread is dead</w:t>
      </w:r>
    </w:p>
    <w:p>
      <w:pPr>
        <w:pStyle w:val="ListParagraph"/>
        <w:numPr>
          <w:ilvl w:val="0"/>
          <w:numId w:val="1"/>
        </w:numPr>
        <w:spacing w:after="60"/>
      </w:pPr>
      <w:r>
        <w:t xml:space="preserve">No specific, credible recent-quarter inflection was found, so the small-cap 'recent improvement' exception does not apply</w:t>
      </w:r>
    </w:p>
    <w:p>
      <w:pPr>
        <w:pStyle w:val="ListParagraph"/>
        <w:numPr>
          <w:ilvl w:val="0"/>
          <w:numId w:val="1"/>
        </w:numPr>
        <w:spacing w:after="60"/>
      </w:pPr>
      <w:r>
        <w:t xml:space="preserve">No red-flag tier; thesis fit 'neither', conviction LOW</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2026-08-27T17:58:06.946Z</dcterms:created>
  <dcterms:modified xsi:type="dcterms:W3CDTF">2026-08-27T17:58:06.946Z</dcterms:modified>
</cp:coreProperties>
</file>

<file path=docProps/custom.xml><?xml version="1.0" encoding="utf-8"?>
<Properties xmlns="http://schemas.openxmlformats.org/officeDocument/2006/custom-properties" xmlns:vt="http://schemas.openxmlformats.org/officeDocument/2006/docPropsVTypes"/>
</file>