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Asian Petroproducts &amp; Exports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ethylene-oxide chemicals manufacturer with a qualified audit opinion and a below-average quality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Asian Petroproducts &amp; Exports Ltd (incorporated 1991) manufactures ethylene oxide-based chemicals (monoethanolamide, diethanolamine, triethanolamine, ethoxylates) and also trades in plastic products and other chemicals.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22.9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Profit</w:t>
            </w:r>
          </w:p>
        </w:tc>
        <w:tc>
          <w:tcPr>
            <w:tcW w:type="dxa" w:w="5800"/>
          </w:tcPr>
          <w:p>
            <w:r>
              <w:t xml:space="preserve">Rs 67.50 Cr / Rs 1.21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net profit</w:t>
            </w:r>
          </w:p>
        </w:tc>
        <w:tc>
          <w:tcPr>
            <w:tcW w:type="dxa" w:w="5800"/>
          </w:tcPr>
          <w:p>
            <w:r>
              <w:t xml:space="preserve">Rs 1.04 Cr (+5,300% YoY, off a near-zero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56.86% (Institutions 0%, Public 43.14%)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Improved from 142 to 44.6 days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Audit opinion</w:t>
            </w:r>
          </w:p>
        </w:tc>
        <w:tc>
          <w:tcPr>
            <w:tcW w:type="dxa" w:w="5800"/>
          </w:tcPr>
          <w:p>
            <w:r>
              <w:t xml:space="preserve">Qualified (FY26 audited results)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No ValuePickr thread was found for this company. Independent quality-rating research explicitly assessed it as a 'below average quality company' with a 'weak' price trend over the past decade. The eye-catching 5,300% profit jump is off a near-zero base (Rs ~0.02 Cr to Rs 1.04 Cr) and is not a meaningful growth signal at this scale. The FY26 audited results carried a qualified audit opinion, which is a genuine caution flag though not confirmed as a going-concern or negative-net-worth issue.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Price trend independently assessed as weak, consistent with a below-average-quality, thinly-traded micro-cap.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this company — proceeded on fundamentals and news only, per the task's honesty requirement.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ValuePickr community signal available — no verified thread found.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confirmed SEBI/regulatory enforcement action or confirmed negative net worth found, but the FY26 audited results carried a qualified audit opinion, which independently warrants caution even though it does not meet this screen's formal AVOID/EXCLUDE bar without further confirmation.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debtor days (142 to 44.6) suggests some working-capital discipline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Stable, majority promoter holding (56.86%) with no signal of collapse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small market cap (Rs 22.9 Cr) theoretically offers high optionality if the business turns around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Independently rated a below-average quality company with a weak price trend over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5,300% profit growth is a statistical artifact of a near-zero base, not real operating momentum — fails the 'real, not cosmetic' growth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Qualified audit opinion on FY26 results is a genuine caution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community discussion exists to cross-check the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22.9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Below-average-quality micro-cap with a qualified audit opinion — does not clear the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quality assessment and this run's own review both point to below-average fundamentals despite a headline-grabbing but cosmetic profit growth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qualified audit opinion combined with no available community discussion to cross-check the story is enough to keep this off the list without deeper primary-source diligence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formally red-flagged (no confirmed negative net worth or SEBI action), but conviction is low given the quality and audit caveats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2026-08-22T03:01:54.420Z</dcterms:created>
  <dcterms:modified xsi:type="dcterms:W3CDTF">2026-08-22T03:01:54.422Z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