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Aurionpro Solutions Ltd</w:t>
      </w:r>
    </w:p>
    <w:p>
      <w:pPr>
        <w:pBdr>
          <w:bottom w:val="single" w:color="CCCCCC" w:sz="6" w:space="8"/>
        </w:pBdr>
        <w:spacing w:after="200"/>
      </w:pPr>
      <w:r>
        <w:rPr>
          <w:i/>
          <w:iCs/>
          <w:color w:val="666666"/>
          <w:sz w:val="22"/>
          <w:szCs w:val="22"/>
        </w:rPr>
        <w:t xml:space="preserve">A trusted-user favorite for two years on strong banking-tech execution, now hitting a sharp, real growth-deceleration inflection in the most recent quarter</w:t>
      </w:r>
    </w:p>
    <w:p>
      <w:pPr>
        <w:pStyle w:val="Heading1"/>
        <w:spacing w:after="120" w:before="280"/>
      </w:pPr>
      <w:r>
        <w:t xml:space="preserve">Business Overview</w:t>
      </w:r>
    </w:p>
    <w:p>
      <w:pPr>
        <w:spacing w:after="120"/>
      </w:pPr>
      <w:r>
        <w:t xml:space="preserve">Aurionpro is an IP-led banking/fintech software company (transaction banking platforms, AI via its Arya.ai acquisition, smart-city/surveillance systems) expanding from its Asia home base into GCC and European markets, plus a Transit/Innovation Group (TIG) segment now including a data-center business (~1/3 of TIG revenue).</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3,837 Cr (down ~49% in the last 1 year)</w:t>
            </w:r>
          </w:p>
        </w:tc>
      </w:tr>
      <w:tr>
        <w:tc>
          <w:tcPr>
            <w:tcW w:type="dxa" w:w="3200"/>
            <w:shd w:fill="F2F2F2" w:val="clear"/>
          </w:tcPr>
          <w:p>
            <w:r>
              <w:rPr>
                <w:b/>
                <w:bCs/>
              </w:rPr>
              <w:t xml:space="preserve">ROCE / ROE</w:t>
            </w:r>
          </w:p>
        </w:tc>
        <w:tc>
          <w:tcPr>
            <w:tcW w:type="dxa" w:w="5800"/>
          </w:tcPr>
          <w:p>
            <w:r>
              <w:t xml:space="preserve">19.08% / 14.59%</w:t>
            </w:r>
          </w:p>
        </w:tc>
      </w:tr>
      <w:tr>
        <w:tc>
          <w:tcPr>
            <w:tcW w:type="dxa" w:w="3200"/>
            <w:shd w:fill="F2F2F2" w:val="clear"/>
          </w:tcPr>
          <w:p>
            <w:r>
              <w:rPr>
                <w:b/>
                <w:bCs/>
              </w:rPr>
              <w:t xml:space="preserve">Revenue</w:t>
            </w:r>
          </w:p>
        </w:tc>
        <w:tc>
          <w:tcPr>
            <w:tcW w:type="dxa" w:w="5800"/>
          </w:tcPr>
          <w:p>
            <w:r>
              <w:t xml:space="preserve">Rs 1,432 Cr TTM; but Q1 FY27 revenue grew only +6.3% YoY / +3.6% QoQ, a sharp deceleration from the 20-30% YoY rates posted through FY24-FY26</w:t>
            </w:r>
          </w:p>
        </w:tc>
      </w:tr>
      <w:tr>
        <w:tc>
          <w:tcPr>
            <w:tcW w:type="dxa" w:w="3200"/>
            <w:shd w:fill="F2F2F2" w:val="clear"/>
          </w:tcPr>
          <w:p>
            <w:r>
              <w:rPr>
                <w:b/>
                <w:bCs/>
              </w:rPr>
              <w:t xml:space="preserve">52-week range</w:t>
            </w:r>
          </w:p>
        </w:tc>
        <w:tc>
          <w:tcPr>
            <w:tcW w:type="dxa" w:w="5800"/>
          </w:tcPr>
          <w:p>
            <w:r>
              <w:t xml:space="preserve">trading near 52-week low as of Aug 2026</w:t>
            </w:r>
          </w:p>
        </w:tc>
      </w:tr>
    </w:tbl>
    <w:p>
      <w:pPr>
        <w:spacing w:after="100"/>
      </w:pPr>
    </w:p>
    <w:p>
      <w:pPr>
        <w:spacing w:after="120"/>
      </w:pPr>
      <w:r>
        <w:t xml:space="preserve">Historically strong growth (consistently met 30-35% guidance through FY25) has decelerated sharply: Q1 FY27 (Jun 2026) revenue was Rs 358 Cr, up only 6.3% YoY and 3.6% QoQ, versus a Rs 346 Cr Q4 FY26 base. Management's FY30 target of Rs 5,000 Cr revenue (stated at a Jun 2026 Investor Day, implying ~32-33% CAGR to sustain) now looks materially disconnected from the current run-rate. One recent, unloved-but-detailed community post also flags EBITDA margin compression, rising receivables, and heavy reliance on (expensive) inorganic growth via acquisitions.</w:t>
      </w:r>
    </w:p>
    <w:p>
      <w:pPr>
        <w:pStyle w:val="Heading1"/>
        <w:spacing w:after="120" w:before="280"/>
      </w:pPr>
      <w:r>
        <w:t xml:space="preserve">Technical Read (Weekly / Monthly MACD + Bollinger Bands, or RSI/CCI/Williams %R proxy)</w:t>
      </w:r>
    </w:p>
    <w:p>
      <w:pPr>
        <w:spacing w:after="120"/>
      </w:pPr>
      <w:r>
        <w:t xml:space="preserve">Not independently pulled this pass - stock down ~49% over 1 year and trading near its 52-week low despite still-respectable ROCE/ROE.</w:t>
      </w:r>
    </w:p>
    <w:p>
      <w:pPr>
        <w:pStyle w:val="Heading1"/>
        <w:spacing w:after="120" w:before="280"/>
      </w:pPr>
      <w:r>
        <w:t xml:space="preserve">ValuePickr Community Signal</w:t>
      </w:r>
    </w:p>
    <w:p>
      <w:pPr>
        <w:spacing w:after="120"/>
      </w:pPr>
      <w:r>
        <w:t xml:space="preserve">Read 50 of 98 available posts (of 106 total) spanning Jul 2024 to Aug 2026. Strong, sustained bullish sentiment from trusted users through most of 2024-2025 (management execution, strategic acquisitions like Arya.ai and Fenixys, new geography wins in Egypt/EU/Saudi) gave way in the most recent posts (Aug 2026) to sharp skepticism once Q1 FY27's growth deceleration became visible, with one detailed post explicitly questioning whether the FY30 Rs 5,000 Cr target is achievable from the current run-rate.</w:t>
      </w:r>
    </w:p>
    <w:p>
      <w:pPr>
        <w:spacing w:after="120"/>
      </w:pPr>
      <w:r>
        <w:rPr>
          <w:b/>
          <w:bCs/>
          <w:sz w:val="20"/>
          <w:szCs w:val="20"/>
        </w:rPr>
        <w:t xml:space="preserve">High-conviction call from a top contributor: </w:t>
      </w:r>
      <w:r>
        <w:rPr>
          <w:sz w:val="20"/>
          <w:szCs w:val="20"/>
        </w:rPr>
        <w:t xml:space="preserve">Vivek_6954 (trusted) was emphatically bullish through 2024-2025 ("eloquent mgmt who has truly transformed this otherwise sleepy co", disclosed invested 2+ years with no selling as of Jun 2025) - a sustained, explicit conviction position, though its currency is now ~14 months old relative to this run and predates the Q1 FY27 deceleration. BuyRightSitTight (trusted) provided detailed, consistently bullish concall/EPS analysis across multiple quarters through mid-2025. vikasbargale (trusted, Jun 2026) disclosed only a small 1% portfolio allocation - a much lower-conviction signal, posted after the deceleration was becoming visible.</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2026-06-17 — vikasbargale</w:t>
      </w:r>
      <w:r>
        <w:rPr>
          <w:i/>
          <w:iCs/>
          <w:color w:val="666666"/>
          <w:sz w:val="18"/>
          <w:szCs w:val="18"/>
        </w:rPr>
        <w:t xml:space="preserve"> (Aurionpro Solutions)</w:t>
      </w:r>
      <w:r>
        <w:rPr>
          <w:sz w:val="20"/>
          <w:szCs w:val="20"/>
        </w:rPr>
        <w:br/>
        <w:t xml:space="preserve">: Disclosed only a small 1% portfolio allocation, posted as the growth deceleration was becoming visible</w:t>
      </w:r>
    </w:p>
    <w:p>
      <w:pPr>
        <w:spacing w:after="100"/>
      </w:pPr>
      <w:r>
        <w:rPr>
          <w:b/>
          <w:bCs/>
          <w:sz w:val="20"/>
          <w:szCs w:val="20"/>
        </w:rPr>
        <w:t xml:space="preserve">2025-06-27 — Vivek_6954</w:t>
      </w:r>
      <w:r>
        <w:rPr>
          <w:i/>
          <w:iCs/>
          <w:color w:val="666666"/>
          <w:sz w:val="18"/>
          <w:szCs w:val="18"/>
        </w:rPr>
        <w:t xml:space="preserve"> (Aurionpro Solutions)</w:t>
      </w:r>
      <w:r>
        <w:rPr>
          <w:sz w:val="20"/>
          <w:szCs w:val="20"/>
        </w:rPr>
        <w:br/>
        <w:t xml:space="preserve">: Disclosed invested 2+ years with no selling</w:t>
      </w:r>
    </w:p>
    <w:p>
      <w:pPr>
        <w:spacing w:after="100"/>
      </w:pPr>
      <w:r>
        <w:rPr>
          <w:b/>
          <w:bCs/>
          <w:sz w:val="20"/>
          <w:szCs w:val="20"/>
        </w:rPr>
        <w:t xml:space="preserve">2024-07-25 — Vivek_6954</w:t>
      </w:r>
      <w:r>
        <w:rPr>
          <w:i/>
          <w:iCs/>
          <w:color w:val="666666"/>
          <w:sz w:val="18"/>
          <w:szCs w:val="18"/>
        </w:rPr>
        <w:t xml:space="preserve"> (Aurionpro Solutions)</w:t>
      </w:r>
      <w:r>
        <w:rPr>
          <w:sz w:val="20"/>
          <w:szCs w:val="20"/>
        </w:rPr>
        <w:br/>
        <w:t xml:space="preserve">: Emphatic bullish call on management execution and sector tailwinds</w:t>
      </w:r>
    </w:p>
    <w:p>
      <w:pPr>
        <w:pStyle w:val="Heading1"/>
        <w:spacing w:after="120" w:before="280"/>
      </w:pPr>
      <w:r>
        <w:t xml:space="preserve">BSE Corporate Actions / Other Red Flags</w:t>
      </w:r>
    </w:p>
    <w:p>
      <w:pPr>
        <w:spacing w:after="120"/>
      </w:pPr>
      <w:r>
        <w:t xml:space="preserve">Not independently checked beyond the forum discussion above.</w:t>
      </w:r>
    </w:p>
    <w:p>
      <w:pPr>
        <w:pStyle w:val="Heading1"/>
        <w:spacing w:after="120" w:before="280"/>
      </w:pPr>
      <w:r>
        <w:t xml:space="preserve">Bull Case</w:t>
      </w:r>
    </w:p>
    <w:p>
      <w:pPr>
        <w:pStyle w:val="ListParagraph"/>
        <w:numPr>
          <w:ilvl w:val="0"/>
          <w:numId w:val="1"/>
        </w:numPr>
        <w:spacing w:after="60"/>
      </w:pPr>
      <w:r>
        <w:t xml:space="preserve">Two years of sustained, detailed trusted-user conviction (Vivek_6954, BuyRightSitTight) built on genuine execution: consistent guidance delivery, credible acquisitions (Arya.ai for AI capability, Fenixys), and real new-geography wins (Egypt/Mastercard transit deal, European deal, Saudi bank contract)</w:t>
      </w:r>
    </w:p>
    <w:p>
      <w:pPr>
        <w:pStyle w:val="ListParagraph"/>
        <w:numPr>
          <w:ilvl w:val="0"/>
          <w:numId w:val="1"/>
        </w:numPr>
        <w:spacing w:after="60"/>
      </w:pPr>
      <w:r>
        <w:t xml:space="preserve">Still-respectable ROCE (19%) despite the stock's ~49% 1-year decline, suggesting the market has already priced in significant deceleration risk</w:t>
      </w:r>
    </w:p>
    <w:p>
      <w:pPr>
        <w:pStyle w:val="ListParagraph"/>
        <w:numPr>
          <w:ilvl w:val="0"/>
          <w:numId w:val="1"/>
        </w:numPr>
        <w:spacing w:after="60"/>
      </w:pPr>
      <w:r>
        <w:t xml:space="preserve">FII holders (Goldman Sachs, Malabar per one post) reportedly holding through the recent selloff, per community discussion</w:t>
      </w:r>
    </w:p>
    <w:p>
      <w:pPr>
        <w:pStyle w:val="ListParagraph"/>
        <w:numPr>
          <w:ilvl w:val="0"/>
          <w:numId w:val="1"/>
        </w:numPr>
        <w:spacing w:after="60"/>
      </w:pPr>
      <w:r>
        <w:t xml:space="preserve">IP-led (not purely services) banking-tech model with AI-augmentation optionality via Arya.ai</w:t>
      </w:r>
    </w:p>
    <w:p>
      <w:pPr>
        <w:pStyle w:val="Heading1"/>
        <w:spacing w:after="120" w:before="280"/>
      </w:pPr>
      <w:r>
        <w:t xml:space="preserve">Bear Case / Key Risks</w:t>
      </w:r>
    </w:p>
    <w:p>
      <w:pPr>
        <w:pStyle w:val="ListParagraph"/>
        <w:numPr>
          <w:ilvl w:val="0"/>
          <w:numId w:val="1"/>
        </w:numPr>
        <w:spacing w:after="60"/>
      </w:pPr>
      <w:r>
        <w:t xml:space="preserve">Q1 FY27 growth decelerated sharply to +6.3% YoY / +3.6% QoQ from a historical 20-30% YoY pace - this is a real, quantified inflection, not sentiment-driven noise</w:t>
      </w:r>
    </w:p>
    <w:p>
      <w:pPr>
        <w:pStyle w:val="ListParagraph"/>
        <w:numPr>
          <w:ilvl w:val="0"/>
          <w:numId w:val="1"/>
        </w:numPr>
        <w:spacing w:after="60"/>
      </w:pPr>
      <w:r>
        <w:t xml:space="preserve">Management's own Jun 2026 Investor Day FY30 target (Rs 5,000 Cr) requires ~32-33% sustained CAGR that the current run-rate does not support without a fast reacceleration</w:t>
      </w:r>
    </w:p>
    <w:p>
      <w:pPr>
        <w:pStyle w:val="ListParagraph"/>
        <w:numPr>
          <w:ilvl w:val="0"/>
          <w:numId w:val="1"/>
        </w:numPr>
        <w:spacing w:after="60"/>
      </w:pPr>
      <w:r>
        <w:t xml:space="preserve">One detailed, skeptical recent post flags EBITDA margin compression, rising receivables, and heavy dependence on high-valuation acquisitions for growth ("Khayali Pulao" - i.e., unrealistic pie-in-the-sky) - a real bear case, not dismissed by the thread</w:t>
      </w:r>
    </w:p>
    <w:p>
      <w:pPr>
        <w:pStyle w:val="ListParagraph"/>
        <w:numPr>
          <w:ilvl w:val="0"/>
          <w:numId w:val="1"/>
        </w:numPr>
        <w:spacing w:after="60"/>
      </w:pPr>
      <w:r>
        <w:t xml:space="preserve">Unresolved, disputed community discussion linking the company (via government tenders) to a 2019-2020 bribery/fake-job news story, even though it predates current management</w:t>
      </w:r>
    </w:p>
    <w:p>
      <w:pPr>
        <w:pStyle w:val="ListParagraph"/>
        <w:numPr>
          <w:ilvl w:val="0"/>
          <w:numId w:val="1"/>
        </w:numPr>
        <w:spacing w:after="60"/>
      </w:pPr>
      <w:r>
        <w:t xml:space="preserve">No Indian mutual fund ownership despite the growth story, a governance-optics question raised directly by a community member without a fully convincing management answer per one poster's account of a Feb 2026 concall</w:t>
      </w:r>
    </w:p>
    <w:p>
      <w:pPr>
        <w:pStyle w:val="Heading1"/>
        <w:spacing w:after="120" w:before="280"/>
      </w:pPr>
      <w:r>
        <w:t xml:space="preserve">Market-Cap Tier (informational — not a gate in this project)</w:t>
      </w:r>
    </w:p>
    <w:p>
      <w:pPr>
        <w:spacing w:after="120"/>
      </w:pPr>
      <w:r>
        <w:rPr>
          <w:b/>
          <w:bCs/>
        </w:rPr>
        <w:t xml:space="preserve">Small-cap (~Rs 3,837 Cr)</w:t>
      </w:r>
    </w:p>
    <w:p>
      <w:pPr>
        <w:pStyle w:val="Heading1"/>
        <w:spacing w:after="120" w:before="280"/>
      </w:pPr>
      <w:r>
        <w:t xml:space="preserve">Thesis Fit</w:t>
      </w:r>
    </w:p>
    <w:p>
      <w:pPr>
        <w:spacing w:after="120"/>
      </w:pPr>
      <w:r>
        <w:rPr>
          <w:b/>
          <w:bCs/>
          <w:sz w:val="24"/>
          <w:szCs w:val="24"/>
        </w:rPr>
        <w:t xml:space="preserve">neither</w:t>
      </w:r>
    </w:p>
    <w:p>
      <w:pPr>
        <w:pStyle w:val="Heading1"/>
        <w:spacing w:after="120" w:before="280"/>
      </w:pPr>
      <w:r>
        <w:t xml:space="preserve">Verdict</w:t>
      </w:r>
    </w:p>
    <w:p>
      <w:pPr>
        <w:spacing w:after="120"/>
      </w:pPr>
      <w:r>
        <w:rPr>
          <w:b/>
          <w:bCs/>
          <w:sz w:val="24"/>
          <w:szCs w:val="24"/>
        </w:rPr>
        <w:t xml:space="preserve">A trusted community favorite for two years, now facing a real, quantified growth-deceleration inflection that the thesis cannot currently ignore</w:t>
      </w:r>
    </w:p>
    <w:p>
      <w:pPr>
        <w:pStyle w:val="ListParagraph"/>
        <w:numPr>
          <w:ilvl w:val="0"/>
          <w:numId w:val="1"/>
        </w:numPr>
        <w:spacing w:after="60"/>
      </w:pPr>
      <w:r>
        <w:t xml:space="preserve">Historical trusted-user conviction was genuine and well-documented, but it is now materially dated relative to the Q1 FY27 deceleration that only became visible in the most recent posts (Aug 2026)</w:t>
      </w:r>
    </w:p>
    <w:p>
      <w:pPr>
        <w:pStyle w:val="ListParagraph"/>
        <w:numPr>
          <w:ilvl w:val="0"/>
          <w:numId w:val="1"/>
        </w:numPr>
        <w:spacing w:after="60"/>
      </w:pPr>
      <w:r>
        <w:t xml:space="preserve">The instruction to weight recent-quarter trends over trailing averages cuts against this name here: a strong 2-year trailing story is being overridden by a sharp, specific, recent-quarter deceleration, not the reverse</w:t>
      </w:r>
    </w:p>
    <w:p>
      <w:pPr>
        <w:pStyle w:val="ListParagraph"/>
        <w:numPr>
          <w:ilvl w:val="0"/>
          <w:numId w:val="1"/>
        </w:numPr>
        <w:spacing w:after="60"/>
      </w:pPr>
      <w:r>
        <w:t xml:space="preserve">The disputed bribery-scandal discussion is not disqualifying (unconfirmed, predates current management, no SEBI action) but adds to reasons for caution rather than urgency to buy</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2026-08-23T09:59:07.558Z</dcterms:created>
  <dcterms:modified xsi:type="dcterms:W3CDTF">2026-08-23T09:59:07.560Z</dcterms:modified>
</cp:coreProperties>
</file>

<file path=docProps/custom.xml><?xml version="1.0" encoding="utf-8"?>
<Properties xmlns="http://schemas.openxmlformats.org/officeDocument/2006/custom-properties" xmlns:vt="http://schemas.openxmlformats.org/officeDocument/2006/docPropsVTypes"/>
</file>