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Balu Forge | Forging Ahead with Defense and Aerospace Ambitions Amid Capital Efficiency Concerns |</w:t>
      </w:r>
    </w:p>
    <w:p>
      <w:pPr>
        <w:pBdr>
          <w:bottom w:val="single" w:color="CCCCCC" w:sz="6" w:space="8"/>
        </w:pBdr>
        <w:spacing w:after="200"/>
      </w:pPr>
      <w:r>
        <w:rPr>
          <w:i/>
          <w:iCs/>
          <w:color w:val="666666"/>
          <w:sz w:val="22"/>
          <w:szCs w:val="22"/>
        </w:rPr>
        <w:t xml:space="preserve">Fast-growing forged-components manufacturer whose own thread title says it best - real growth, but real and unresolved capital-efficiency and governance questions</w:t>
      </w:r>
    </w:p>
    <w:p>
      <w:pPr>
        <w:pStyle w:val="Heading1"/>
        <w:spacing w:after="120" w:before="280"/>
      </w:pPr>
      <w:r>
        <w:t xml:space="preserve">Business Overview</w:t>
      </w:r>
    </w:p>
    <w:p>
      <w:pPr>
        <w:spacing w:after="120"/>
      </w:pPr>
      <w:r>
        <w:t xml:space="preserve">Balu Forge Industries manufactures forged crankshafts and components, historically for automotive, and is diversifying into defense and aerospace. The company has grown rapidly in part by acquiring distressed manufacturing assets cheaply (contributing to unusually high asset turnover versus peers), and has funded ongoing capex/expansion through repeated preferential-issue equity raises rather than debt.</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6,762 Cr</w:t>
            </w:r>
          </w:p>
        </w:tc>
      </w:tr>
      <w:tr>
        <w:tc>
          <w:tcPr>
            <w:tcW w:type="dxa" w:w="3200"/>
            <w:shd w:fill="F2F2F2" w:val="clear"/>
          </w:tcPr>
          <w:p>
            <w:r>
              <w:rPr>
                <w:b/>
                <w:bCs/>
              </w:rPr>
              <w:t xml:space="preserve">Revenue growth (YoY)</w:t>
            </w:r>
          </w:p>
        </w:tc>
        <w:tc>
          <w:tcPr>
            <w:tcW w:type="dxa" w:w="5800"/>
          </w:tcPr>
          <w:p>
            <w:r>
              <w:t xml:space="preserve">52.67% (5yr avg 41.5%)</w:t>
            </w:r>
          </w:p>
        </w:tc>
      </w:tr>
      <w:tr>
        <w:tc>
          <w:tcPr>
            <w:tcW w:type="dxa" w:w="3200"/>
            <w:shd w:fill="F2F2F2" w:val="clear"/>
          </w:tcPr>
          <w:p>
            <w:r>
              <w:rPr>
                <w:b/>
                <w:bCs/>
              </w:rPr>
              <w:t xml:space="preserve">ROCE</w:t>
            </w:r>
          </w:p>
        </w:tc>
        <w:tc>
          <w:tcPr>
            <w:tcW w:type="dxa" w:w="5800"/>
          </w:tcPr>
          <w:p>
            <w:r>
              <w:t xml:space="preserve">20.36%</w:t>
            </w:r>
          </w:p>
        </w:tc>
      </w:tr>
      <w:tr>
        <w:tc>
          <w:tcPr>
            <w:tcW w:type="dxa" w:w="3200"/>
            <w:shd w:fill="F2F2F2" w:val="clear"/>
          </w:tcPr>
          <w:p>
            <w:r>
              <w:rPr>
                <w:b/>
                <w:bCs/>
              </w:rPr>
              <w:t xml:space="preserve">ROE</w:t>
            </w:r>
          </w:p>
        </w:tc>
        <w:tc>
          <w:tcPr>
            <w:tcW w:type="dxa" w:w="5800"/>
          </w:tcPr>
          <w:p>
            <w:r>
              <w:t xml:space="preserve">~17-23% (varies by source)</w:t>
            </w:r>
          </w:p>
        </w:tc>
      </w:tr>
      <w:tr>
        <w:tc>
          <w:tcPr>
            <w:tcW w:type="dxa" w:w="3200"/>
            <w:shd w:fill="F2F2F2" w:val="clear"/>
          </w:tcPr>
          <w:p>
            <w:r>
              <w:rPr>
                <w:b/>
                <w:bCs/>
              </w:rPr>
              <w:t xml:space="preserve">Debt/EBITDA</w:t>
            </w:r>
          </w:p>
        </w:tc>
        <w:tc>
          <w:tcPr>
            <w:tcW w:type="dxa" w:w="5800"/>
          </w:tcPr>
          <w:p>
            <w:r>
              <w:t xml:space="preserve">0.81 (manageable)</w:t>
            </w:r>
          </w:p>
        </w:tc>
      </w:tr>
    </w:tbl>
    <w:p>
      <w:pPr>
        <w:spacing w:after="100"/>
      </w:pPr>
    </w:p>
    <w:p>
      <w:pPr>
        <w:spacing w:after="120"/>
      </w:pPr>
      <w:r>
        <w:t xml:space="preserve">Growth is genuinely strong on paper (52.67% YoY revenue, ROCE 20.36%), but the thread's own title flags 'capital efficiency concerns' - and the full read of the thread confirms this is a live, real, still-unresolved debate rather than settled noise. High asset turnover is explained by acquiring distressed assets cheaply rather than superior operational efficiency. The company has repeatedly raised equity via preferential issuances during its expansion phase, and a fresh fund-raise was announced alongside Q1 FY27 results (unaudited, per one community post) on 12 August 2026.</w:t>
      </w:r>
    </w:p>
    <w:p>
      <w:pPr>
        <w:pStyle w:val="Heading1"/>
        <w:spacing w:after="120" w:before="280"/>
      </w:pPr>
      <w:r>
        <w:t xml:space="preserve">Technical Read (Weekly / Monthly MACD + Bollinger Bands, or RSI/CCI/Williams %R proxy)</w:t>
      </w:r>
    </w:p>
    <w:p>
      <w:pPr>
        <w:spacing w:after="120"/>
      </w:pPr>
      <w:r>
        <w:t xml:space="preserve">Not independently pulled this pass. Stock is down ~30% over the trailing 52 weeks despite the strong revenue growth - a real re-rating discount that the community broadly attributes to the capital-efficiency/dilution overhang rather than a fundamentals problem.</w:t>
      </w:r>
    </w:p>
    <w:p>
      <w:pPr>
        <w:pStyle w:val="Heading1"/>
        <w:spacing w:after="120" w:before="280"/>
      </w:pPr>
      <w:r>
        <w:t xml:space="preserve">ValuePickr Community Signal</w:t>
      </w:r>
    </w:p>
    <w:p>
      <w:pPr>
        <w:spacing w:after="120"/>
      </w:pPr>
      <w:r>
        <w:t xml:space="preserve">Read the full 57-post thread (single batch - stream length 57 covers the entire thread from inception in Sept 2024 through today, Aug 2026). Sentiment has cycled between growth optimism (NATO-adjacent supply-chain classification, strong quarterly numbers) and persistent, recurring concern about capital allocation: an Enforcement Directorate (ED) stake that has been 'continuously selling and creating pressure on the stock', repeated equity dilution via preferential issuances, and (most recently) a note that Q1 FY27 results may be unaudited.</w:t>
      </w:r>
    </w:p>
    <w:p>
      <w:pPr>
        <w:spacing w:after="120"/>
      </w:pPr>
      <w:r>
        <w:rPr>
          <w:b/>
          <w:bCs/>
          <w:sz w:val="20"/>
          <w:szCs w:val="20"/>
        </w:rPr>
        <w:t xml:space="preserve">High-conviction call from a top contributor: </w:t>
      </w:r>
      <w:r>
        <w:rPr>
          <w:sz w:val="20"/>
          <w:szCs w:val="20"/>
        </w:rPr>
        <w:t xml:space="preserve">No trusted-roster user posted with a conviction call (rajpanda, trusted, posted once with a neutral clarifying comment about warrant pricing). Sachin_Malik's August 2025 post is the clearest single explanation of the capital-efficiency dynamic: high asset turnover from buying distressed assets cheaply is 'not the big problem - the bigger problem is the ED stake... continuously selling.' Bhashit_Parikh did the most substantive fundamental digging (verifying the NATO supply-chain listing claim - finding it is not a unique certification, shared by ~8,000 other companies - and getting direct CFO email responses on cost-line questions). Lavanay (Aug 2026) struck a cautiously constructive tone on the latest fund-raise, noting management has so far deployed prior raises broadly in line with stated objectives.</w:t>
      </w:r>
    </w:p>
    <w:p>
      <w:pPr>
        <w:pStyle w:val="Heading1"/>
        <w:spacing w:after="120" w:before="280"/>
      </w:pPr>
      <w:r>
        <w:t xml:space="preserve">BSE Corporate Actions / Other Red Flags</w:t>
      </w:r>
    </w:p>
    <w:p>
      <w:pPr>
        <w:spacing w:after="120"/>
      </w:pPr>
      <w:r>
        <w:t xml:space="preserve">Not independently checked this pass. ED stake sales referenced repeatedly by the community as an overhang throughout the thread's history.</w:t>
      </w:r>
    </w:p>
    <w:p>
      <w:pPr>
        <w:pStyle w:val="Heading1"/>
        <w:spacing w:after="120" w:before="280"/>
      </w:pPr>
      <w:r>
        <w:t xml:space="preserve">Bull Case</w:t>
      </w:r>
    </w:p>
    <w:p>
      <w:pPr>
        <w:pStyle w:val="ListParagraph"/>
        <w:numPr>
          <w:ilvl w:val="0"/>
          <w:numId w:val="1"/>
        </w:numPr>
        <w:spacing w:after="60"/>
      </w:pPr>
      <w:r>
        <w:t xml:space="preserve">Strong, sustained revenue growth (52.67% YoY, 41.5% 5-year average) well above typical forging-industry rates</w:t>
      </w:r>
    </w:p>
    <w:p>
      <w:pPr>
        <w:pStyle w:val="ListParagraph"/>
        <w:numPr>
          <w:ilvl w:val="0"/>
          <w:numId w:val="1"/>
        </w:numPr>
        <w:spacing w:after="60"/>
      </w:pPr>
      <w:r>
        <w:t xml:space="preserve">Diversification into defense/aerospace reduces long-run dependence on the auto-crankshaft business, which carries real EV-transition risk</w:t>
      </w:r>
    </w:p>
    <w:p>
      <w:pPr>
        <w:pStyle w:val="ListParagraph"/>
        <w:numPr>
          <w:ilvl w:val="0"/>
          <w:numId w:val="1"/>
        </w:numPr>
        <w:spacing w:after="60"/>
      </w:pPr>
      <w:r>
        <w:t xml:space="preserve">ROCE of 20.36% and manageable Debt/EBITDA (0.81) indicate the underlying operations, distinct from the capital-structure questions, are reasonably healthy</w:t>
      </w:r>
    </w:p>
    <w:p>
      <w:pPr>
        <w:pStyle w:val="ListParagraph"/>
        <w:numPr>
          <w:ilvl w:val="0"/>
          <w:numId w:val="1"/>
        </w:numPr>
        <w:spacing w:after="60"/>
      </w:pPr>
      <w:r>
        <w:t xml:space="preserve">Management has so far deployed prior capital raises broadly in line with stated objectives, per a recent community assessment</w:t>
      </w:r>
    </w:p>
    <w:p>
      <w:pPr>
        <w:pStyle w:val="ListParagraph"/>
        <w:numPr>
          <w:ilvl w:val="0"/>
          <w:numId w:val="1"/>
        </w:numPr>
        <w:spacing w:after="60"/>
      </w:pPr>
      <w:r>
        <w:t xml:space="preserve">Stock trading ~30% below its 52-week high despite strong growth may already price in much of the known concern</w:t>
      </w:r>
    </w:p>
    <w:p>
      <w:pPr>
        <w:pStyle w:val="Heading1"/>
        <w:spacing w:after="120" w:before="280"/>
      </w:pPr>
      <w:r>
        <w:t xml:space="preserve">Bear Case / Key Risks</w:t>
      </w:r>
    </w:p>
    <w:p>
      <w:pPr>
        <w:pStyle w:val="ListParagraph"/>
        <w:numPr>
          <w:ilvl w:val="0"/>
          <w:numId w:val="1"/>
        </w:numPr>
        <w:spacing w:after="60"/>
      </w:pPr>
      <w:r>
        <w:t xml:space="preserve">The thread's own title names 'capital efficiency concerns' as a live, unresolved theme - not resolved through nearly two years of discussion</w:t>
      </w:r>
    </w:p>
    <w:p>
      <w:pPr>
        <w:pStyle w:val="ListParagraph"/>
        <w:numPr>
          <w:ilvl w:val="0"/>
          <w:numId w:val="1"/>
        </w:numPr>
        <w:spacing w:after="60"/>
      </w:pPr>
      <w:r>
        <w:t xml:space="preserve">ED (Enforcement Directorate) stake has been 'continuously selling' per community observation, a real overhang the market appears to be pricing in</w:t>
      </w:r>
    </w:p>
    <w:p>
      <w:pPr>
        <w:pStyle w:val="ListParagraph"/>
        <w:numPr>
          <w:ilvl w:val="0"/>
          <w:numId w:val="1"/>
        </w:numPr>
        <w:spacing w:after="60"/>
      </w:pPr>
      <w:r>
        <w:t xml:space="preserve">Repeated capital raises via preferential issuances to fund expansion mean per-share value creation is diluted even as headline growth looks strong</w:t>
      </w:r>
    </w:p>
    <w:p>
      <w:pPr>
        <w:pStyle w:val="ListParagraph"/>
        <w:numPr>
          <w:ilvl w:val="0"/>
          <w:numId w:val="1"/>
        </w:numPr>
        <w:spacing w:after="60"/>
      </w:pPr>
      <w:r>
        <w:t xml:space="preserve">A community member flagged Q1 FY27 results as possibly unaudited (Aug 2026) - an open, unresolved question at time of this review</w:t>
      </w:r>
    </w:p>
    <w:p>
      <w:pPr>
        <w:pStyle w:val="ListParagraph"/>
        <w:numPr>
          <w:ilvl w:val="0"/>
          <w:numId w:val="1"/>
        </w:numPr>
        <w:spacing w:after="60"/>
      </w:pPr>
      <w:r>
        <w:t xml:space="preserve">The core forged-crankshaft business carries genuine long-term EV-transition risk as the auto industry electrifies</w:t>
      </w:r>
    </w:p>
    <w:p>
      <w:pPr>
        <w:pStyle w:val="ListParagraph"/>
        <w:numPr>
          <w:ilvl w:val="0"/>
          <w:numId w:val="1"/>
        </w:numPr>
        <w:spacing w:after="60"/>
      </w:pPr>
      <w:r>
        <w:t xml:space="preserve">High asset turnover is explained by distressed-asset acquisition rather than superior execution - a less repeatable source of apparent efficiency</w:t>
      </w:r>
    </w:p>
    <w:p>
      <w:pPr>
        <w:pStyle w:val="Heading1"/>
        <w:spacing w:after="120" w:before="280"/>
      </w:pPr>
      <w:r>
        <w:t xml:space="preserve">Market-Cap Tier (informational — not a gate in this project)</w:t>
      </w:r>
    </w:p>
    <w:p>
      <w:pPr>
        <w:spacing w:after="120"/>
      </w:pPr>
      <w:r>
        <w:rPr>
          <w:b/>
          <w:bCs/>
        </w:rPr>
        <w:t xml:space="preserve">Small/Mid-cap (~Rs 6,762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Real growth undercut by persistent, unresolved capital-allocation and disclosure questions that the community itself has not been able to close out</w:t>
      </w:r>
    </w:p>
    <w:p>
      <w:pPr>
        <w:pStyle w:val="ListParagraph"/>
        <w:numPr>
          <w:ilvl w:val="0"/>
          <w:numId w:val="1"/>
        </w:numPr>
        <w:spacing w:after="60"/>
      </w:pPr>
      <w:r>
        <w:t xml:space="preserve">This is a case where the thread's own framing ('capital efficiency concerns') proved accurate on a full read - nearly two years of community discussion has not resolved the ED stake-sale overhang, the reliance on dilutive equity raises, or (most recently) a question about unaudited results</w:t>
      </w:r>
    </w:p>
    <w:p>
      <w:pPr>
        <w:pStyle w:val="ListParagraph"/>
        <w:numPr>
          <w:ilvl w:val="0"/>
          <w:numId w:val="1"/>
        </w:numPr>
        <w:spacing w:after="60"/>
      </w:pPr>
      <w:r>
        <w:t xml:space="preserve">Revenue growth and ROCE are genuinely strong, and the defense/aerospace diversification is a real long-term positive, but the unresolved governance/capital-structure questions are exactly the kind of live, still-open concern that should keep this at 'neither' rather than a conviction call</w:t>
      </w:r>
    </w:p>
    <w:p>
      <w:pPr>
        <w:pStyle w:val="ListParagraph"/>
        <w:numPr>
          <w:ilvl w:val="0"/>
          <w:numId w:val="1"/>
        </w:numPr>
        <w:spacing w:after="60"/>
      </w:pPr>
      <w:r>
        <w:t xml:space="preserve">Worth revisiting once the ED stake situation and the Q1 FY27 audited-results question are clearly resolved</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2026-08-22T08:14:52.345Z</dcterms:created>
  <dcterms:modified xsi:type="dcterms:W3CDTF">2026-08-22T08:14:52.346Z</dcterms:modified>
</cp:coreProperties>
</file>

<file path=docProps/custom.xml><?xml version="1.0" encoding="utf-8"?>
<Properties xmlns="http://schemas.openxmlformats.org/officeDocument/2006/custom-properties" xmlns:vt="http://schemas.openxmlformats.org/officeDocument/2006/docPropsVTypes"/>
</file>