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Bhageria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dye-intermediate (H-acid, vinyl sulphone) maker plus a solar IPP, on a possible price-recovery up-cycle — but weak through-cycle returns, full Chinese-competition exposure and a trail of governance concerns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dye intermediates — H-acid, vinyl sulphone, gamma acid and related reactive-dye chemistry — with a ~39 MWdc solar power plant (Ahmednagar) and rooftop assets, plus a 51%-owned pharma JV (Bhageria &amp; Jajodia Pharmaceuticals). Earnings swing with H-acid / vinyl-sulphone spreads, which are set largely by Chinese supply.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128 - 245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~5.7%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~10-11% (avg ~9.8%)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~7-8% p.a.; net margin compressed from ~15-16% to ~10%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debt-free; promoter ~71% (raised from ~50% largely via the Nipur Chemicals merger)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claim (non-trusted)</w:t>
            </w:r>
          </w:p>
        </w:tc>
        <w:tc>
          <w:tcPr>
            <w:tcW w:type="dxa" w:w="5800"/>
          </w:tcPr>
          <w:p>
            <w:r>
              <w:t xml:space="preserve">H-acid price recovery cited as driving Q1 FY27; a forum post projects FY27/FY28 revenue of ~Rs 1,200 / 1,500 Cr on current prices — unconfirmed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Bhageria is a price-taker in a commodity dye-intermediate market where spreads are dictated by Chinese supply; margins have halved from the 2016-18 peak and 3-year ROE is ~5.7%. A recent uptick in H-acid prices could drive a cyclical revenue/margin recovery (a non-trusted forum post projects FY27/FY28 revenue of ~Rs 1,200/1,500 Cr), but this is unconfirmed and the historical pattern is short, sharp China-driven spikes that fade. Capital allocation has been questioned — ~Rs 197 Cr of assets in solar generating only ~Rs 2 Cr of profit at one point — and there is a governance trail (below).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reactive-dye intermediates (H-acid, vinyl sulphone)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sub-scale Indian producer of dye intermediates; commodity price-taker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— Chinese capacity sets the marginal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Bodal Chemicals, Kiri Industries, Aksharchem, Yogi Dye Chem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Spreads spike when Chinese plants are shut on pollution enforcement and fade when they reopen; no pricing power for Indian players. Capital-cycle read neutral.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is thin and stale. Bull posts are about H-acid/vinyl-sulphone price spikes (China shutdowns) with explicit trading stop-losses; multiple posters treat it as a pure cyclical/technical bet, not a compounder. Governance concerns raised and left unanswered by management.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call. Discovery candidate (theme-rank 1: matches priority-2 theme 'China-beating exporters', keyword 'dye') — but the company is being squeezed BY Chinese competition, not beating it.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debt-free; promoters have kept buying from the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to an H-acid / vinyl-sulphone up-cycle if Chinese supply tightens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near historically low price-to-book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price-taker fully exposed to Chinese dye-intermediate supply; through-cycle ROE ~5-6%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Questionable capital allocation (large low-return solar book); 51%-only pharma JV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concerns: SEBI penalty, minority-unfriendly merger, unexplained related-party asset sale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Recovery thesis rests on a non-trusted forum projection; no trusted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weak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no (China-set commodity spread cycle); tam weak (no structural growth avenue, low-return solar book); moat no (price-taker); valuation weak (low P/B on depressed, volatile earnings). Score 1.0 -&gt;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Commodity dye-intermediate cyclical with weak through-cycle returns and multiple governance flags — HIGH CAUTION,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1 (priority-2 theme 'China-beating exporters', keyword 'dye') — but Bhageria is squeezed by Chinese supply, not beating it; the theme match is nominal.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(governance), not AVOID/EXCLUDE: SEBI matter appears to be a concluded 2023 adjudication penalty rather than an active fraud order; combined with the minority-unfriendly Nipur merger and an unexplained ~Rs 1-lakh related-party subsidiary sale, conviction is capped and the concern named. No red_flag_tier 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1.0 (tailwind no — commodity spread cycle set by China; tam weak — ~Rs 1,200 Cr but no structural growth avenue, solar is low-return; moat no — price-taker; valuation weak — low P/B but on depressed, volatile earnings). Score &lt;= 1.5 -&gt;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H-acid price recovery is a non-impairing cyclical move but the bull case rests on a non-trusted projection; treated as unconfirmed, does not lift conviction.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weak returns, governance overhang, no trusted signal.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2026-09-04T03:01:05.991Z</dcterms:created>
  <dcterms:modified xsi:type="dcterms:W3CDTF">2026-09-04T03:01:05.992Z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