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Bharat Bijlee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Old-line transformer + electric-motor + drives maker with a large listed-equity investment book - core operations enjoy a transformer-cycle tailwind and ~27% ROIC ex-investments, but headline ROE is ~7%, margins are being squeezed by copper/CRGO, and management barely communicates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Bharat Bijlee (established 1946) has two segments: Power Systems (transformers and turnkey switchyard/EPC projects) and Industrial Systems (LT/HT electric motors, servo drives &amp; automation via a KEB Automation technology partnership, and elevator systems). It also holds a ~Rs 1,780 Cr portfolio of listed equities (Siemens, HDFC Bank, ICICI Bank, etc.). Ashish Kacholia is a shareholder.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2,600 Cr (down ~18%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Reported ROE</w:t>
            </w:r>
          </w:p>
        </w:tc>
        <w:tc>
          <w:tcPr>
            <w:tcW w:type="dxa" w:w="5800"/>
          </w:tcPr>
          <w:p>
            <w:r>
              <w:t xml:space="preserve">~6.95% 3-yr; ~7.75% (Mar-2026)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ROIC ex-investments</w:t>
            </w:r>
          </w:p>
        </w:tc>
        <w:tc>
          <w:tcPr>
            <w:tcW w:type="dxa" w:w="5800"/>
          </w:tcPr>
          <w:p>
            <w:r>
              <w:t xml:space="preserve">~27% on ~Rs 550 Cr of true invested capital (forum estimate)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~Rs 2,356 Cr / ~Rs 112 Cr; Q4 FY24 was strong (PAT +80%, revenue +37% YoY); Projects division topline +160% in a recent year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Investment book</w:t>
            </w:r>
          </w:p>
        </w:tc>
        <w:tc>
          <w:tcPr>
            <w:tcW w:type="dxa" w:w="5800"/>
          </w:tcPr>
          <w:p>
            <w:r>
              <w:t xml:space="preserve">~Rs 1,780 Cr of listed equities on the balance sheet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Transformer capacity expansion 18,000 -&gt; 28,000 MVA (incremental output ~Q1 FY27), funded by internal accruals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returns look poor (ROE ~7%) but are depressed by a large financial-asset pile; a forum analysis strips the ~Rs 1,780 Cr investment book to arrive at ~Rs 550 Cr of true invested capital earning ~27% ROIC - i.e. a decent core operating business trading cheaply, plus an asset play, plus a holdco-style discount. The transformer up-cycle (shortage, grid + renewable demand) drove a strong Q4 FY24 (PAT +80%), and capacity is being expanded ~55%. Against that: employee costs run ~2.5x peers like Voltamp at similar capacity, spiking copper and CRGO prices are compressing OPM, there is effectively no concall / investor communication, and the company has been slow to deploy its ~Rs 2,000 Cr of surplus.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down ~18% over the past year against a strong transformer-sector backdrop.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21-post thread, active but sporadic through Aug 2026. Early posts (Pheonix) laid out the cheap-transformer-play plus investment-book angle and the KEB servo-drive import-substitution optionality. akash8844 (15 loves) flagged the strong Q4 FY24 and the 18k-&gt;28k MVA capacity expansion. More recent posts turn cautious: Utsav_Anand on the ~2.5x-peer employee cost base, preetshah on copper/CRGO eating margins ('Growth + Asset Play'), and repeated 'is anyone still tracking this?' posts reflecting low engagement. Nithin_Jacob's Aug 2026 post makes the ex-financial-assets ~27% ROIC argument and says it makes sense for the company to take on debt to juice ROE.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activity in-thread. The community read is 'cheap growth + asset play, but poor communication and margin pressure' - value-oriented, not high-conviction.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Large listed-equity investment book (~Rs 1,780 Cr). Ashish Kacholia is a public shareholder. Minimal management investor communication / no regular concall.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operating business earns ~27% ROIC once the ~Rs 1,780 Cr investment book is stripped out - a cheap operating business plus an asset play plus a holdco discount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Transformer up-cycle (shortage, grid + renewable capex) plus a ~55% capacity expansion (18k -&gt; 28k MVA) funded internally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KEB-partnered servo drives &amp; automation give an import-substitution optionality at a premium price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Ashish Kacholia on the register; stock down ~18% into a strong sector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ROE ~7% - the market may keep valuing the whole entity on the blended number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Employee costs ~2.5x peers (Voltamp) at similar capacity - a structural margin drag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Copper and CRGO price spikes are compressing OPM now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Effectively no investor communication / no concall - poor disclosure culture, slow to deploy ~Rs 2,000 Cr surplus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Cyclical, commoditised transformer/motor markets with intense MNC and domestic competition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2,600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 - a genuinely cheap value + asset play with a transformer-cycle tailwind, but structurally pressured margins, a poor disclosure culture and the drag of the investment book cap the upside well short of a 10x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 on an ex-investments basis with a transformer tailwind and capacity doubling - but ~7% reported ROE, peer-high costs and near-zero investor communication keep it a value idea, not a multibagger; thesis_fit neither, conviction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First-time coverage. The recent operating trend is decent (strong Q4 FY24, capacity +55%, projects division growing) and the ex-investments ROIC (~27%) argument is credible - this is a legitimately cheap value + asset play.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multibagger case is capped: structurally high employee costs (~2.5x peers), current copper/CRGO margin compression, a large financial-asset book that dilutes returns and valuation, and a management that does not communicate.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trusted-user signal; no conviction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tier. thesis_fit neither on the capped-upside/structural-margin view; conviction Medium reflecting the genuine valuation comfort and capacity catalyst. Not flagged for 30-day revisit (thesis_fit neither); recheck around the Q1 FY27 capacity ramp and margin trajectory.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2026-08-30T12:51:17.841Z</dcterms:created>
  <dcterms:modified xsi:type="dcterms:W3CDTF">2026-08-30T12:51:17.841Z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