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Blue Dart Express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air-express and integrated logistics operator (DHL group) — solid ~15% ROE franchise, but a ~Rs 12,000 Cr mid-cap growing mid-teens with no sharp near-term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leading time-definite air-express carrier (dedicated aircraft fleet) plus ground express and supply-chain services. Subsidiary of DHL. Pricing-led model with periodic rate hikes.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11,859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FY27)</w:t>
            </w:r>
          </w:p>
        </w:tc>
        <w:tc>
          <w:tcPr>
            <w:tcW w:type="dxa" w:w="5800"/>
          </w:tcPr>
          <w:p>
            <w:r>
              <w:t xml:space="preserve">~Rs 1,658 Cr (+15% YoY); TTM ~Rs 6,357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(TTM)</w:t>
            </w:r>
          </w:p>
        </w:tc>
        <w:tc>
          <w:tcPr>
            <w:tcW w:type="dxa" w:w="5800"/>
          </w:tcPr>
          <w:p>
            <w:r>
              <w:t xml:space="preserve">~Rs 287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~13.8% / ~14.8%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~0.32 (modest net debt after aircraft/lease)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4,628 – Rs 7,036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quality, cash-generative franchise with pricing power and a structural e-commerce/express tailwind, but mature: mid-teens ROE, ~15% revenue growth, and earnings sensitive to fuel and volume cycles. Nothing in the current setup points to a step-change in growth or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Did not run a deep thread read — large-cap with mid-teens returns and no specific catalyst fails the preliminary filter for the 10x thesis. Thread (topic 341) is small (~22 posts), last active 06-Aug-2026.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(Step 4 skipped).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leader in time-definite air express with a hard-to-replicate dedicated-aircraft network; DHL parentage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Pricing power via regular rate hikes; e-commerce and premium B2B express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Cash-generative, moderate leverage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Mature: ~15% ROE and ~15% revenue growth — a compounder, not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Fuel-cost and volume-cycle sensitivity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12,000 Cr cap with no sharp catalyst that a 10x-in-2-3-years thesis requires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11,859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franchise, wrong shape for the screen — mid-cap, mid-teens growth, no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is fine but the size and growth rate rule out a 2–3 year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at Step 3 as a large-cap with adequate but unexceptional fundamentals and no specific near-term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only re-enter the frame on a genuine volume/margin inflection or a large new service line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2026-08-30T06:24:40.391Z</dcterms:created>
  <dcterms:modified xsi:type="dcterms:W3CDTF">2026-08-30T06:24:40.392Z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