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Bluspring Enterprises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Integrated facilities-management / business-services rollup demerged from Quess Corp - revenue grows but razor-thin margins, negative ROE and a ~126x multiple rule out the screen thesis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Bluspring (listed June 2025 on demerger from Quess Corp) bundles security, housekeeping, canteen, and facility maintenance services, plus operating-asset management, into an integrated 'facilities and asset management' offering. It was built inside Quess over ~Rs 900 Cr of acquisitions/investment. Addressable market is cited at ~Rs 1.7 lakh Cr, largely unorganised. The STEAG acquisition adds thermal-power O&amp;M, a segment management says carries roughly 2x Bluspring's current margins.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1,908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~5.2% / ~-0.5% (near breakeven / negative)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(FY25)</w:t>
            </w:r>
          </w:p>
        </w:tc>
        <w:tc>
          <w:tcPr>
            <w:tcW w:type="dxa" w:w="5800"/>
          </w:tcPr>
          <w:p>
            <w:r>
              <w:t xml:space="preserve">Rs 2,969 Cr, +15% YoY; FY26 target &gt;Rs 3,400 Cr (20%+ growth)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EBITDA margin</w:t>
            </w:r>
          </w:p>
        </w:tc>
        <w:tc>
          <w:tcPr>
            <w:tcW w:type="dxa" w:w="5800"/>
          </w:tcPr>
          <w:p>
            <w:r>
              <w:t xml:space="preserve">Low single digit; management targets only ~6% by 2030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Borrowings ~Rs 136 Cr (Sep-2025); targeting debt-free in 2-3 years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Valuation</w:t>
            </w:r>
          </w:p>
        </w:tc>
        <w:tc>
          <w:tcPr>
            <w:tcW w:type="dxa" w:w="5800"/>
          </w:tcPr>
          <w:p>
            <w:r>
              <w:t xml:space="preserve">P/E ~126; Book value ~Rs 44.8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This is a labour-arbitrage services rollup: revenue scales with contract wins but margins are structurally thin (a ~6% EBITDA target a full five years out implies ~3-4% today) and the business is currently around breakeven on net profit, so ROE is negative. At ~126x earnings the market is already paying up for the demerger-optionality and STEAG accretion. No red flag in the strict sense (low debt, going-concern intact, transition-year losses), but the economics do not support a multi-bagger thesis.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- not a Tier-A candidate.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First-time, light read: the VP thread (topic 199662, category 1) has effectively no discussion - one thin OP (Jun-2025) plus a moderator note asking for proper homework before starting a stock thread. Nothing to synthesise. Source is a trusted-x-watch snippet (@a_basumallick concall note, 2026-08-17) on STEAG TAM/margins - not a stated position.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None. No roster-user participation, no conviction call, no trusted_signals logged.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Not independently checked. From sources: demerged from Quess Corp, listed 11-Jun-2025; STEAG acquisition (thermal O&amp;M); borrowings ~Rs 136 Cr as of Sep-2025.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Large, mostly unorganised TAM (~Rs 1.7 lakh Cr) with formalisation tailwind; 15-20% revenue growth achievable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STEAG adds a higher-margin (~2x segment) O&amp;M line and cross-sell into thermal capacity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Low debt, stated path to debt-free in 2-3 years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Integrated single-vendor pitch (security + housekeeping + canteen + maintenance) can lift wallet share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Structurally low-margin labour-arbitrage services - a ~6% EBITDA target for 2030 caps the earnings-power ceiling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Currently around breakeven; ROE negative - no demonstrated profitable-scale model yet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~126x P/E already discounts the demerger and STEAG story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Revenue growth without margin is not a 10x/100x driver; peers (Quess, SIS, Updater) trade as low-multiple, low-margin compounders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Brand-new listing, no VP scrutiny, integration/execution risk on acquired businesses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(~Rs 1,908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Growing but structurally thin-margin services rollup at ~126x earnings - fails the quality gate and the thesis math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Source is a trusted-x-watch snippet mention (@a_basumallick, 2026-08-17): 'On the STEAG acquisition - TAM in thermal capacity, and margins for that segment ~2x the company's current margins.' Stated plainly: a snippet, not a conviction call; no conviction floor.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live-theme match. Facilities / business-services is not an active_themes.json theme.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Fails the quality gate on its own terms: ~5% ROCE, negative ROE, sub-6% EBITDA-margin ambition for 2030, ~126x P/E. Revenue growth of 15-20% off a thin-margin base does not produce a 10x-in-2-3-years or 100x-in-10-years outcome.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 flag (low debt, going concern intact, losses are transition-year) - conviction Low, not a HIGH CAUTION.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Exits with a last_analyzed_date. revisit_after_30d = false.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2026-08-31T19:04:42.649Z</dcterms:created>
  <dcterms:modified xsi:type="dcterms:W3CDTF">2026-08-31T19:04:42.649Z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