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Bosch Home Comfort India Ltd (formerly Johnson Controls-Hitachi Air Conditioning India)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Bosch Home Comfort India Ltd (formerly Johnson Controls-Hitachi Air Conditioning India) -- screened at preliminary (web/news) stage; filtered out without a deep ValuePickr thread read.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See fundamentals and verdict below. No deep ValuePickr thread read performed this pass -- this stock was filtered at the Step 3 preliminary (web/news) stage.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4,587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~9.1% / ~6.3% -- below benchmark medians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Revenue ~Rs 2,942 Cr; net profit ~Rs 4.7 Cr -- net margin ~0.16%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~10.4% -- modest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1,021 - Rs 1,802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Note</w:t>
            </w:r>
          </w:p>
        </w:tc>
        <w:tc>
          <w:tcPr>
            <w:tcW w:type="dxa" w:w="5800"/>
          </w:tcPr>
          <w:p>
            <w:r>
              <w:t xml:space="preserve">Renamed to Bosch Home Comfort India in Nov 2025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Room and commercial air-conditioning maker (Hitachi brand, now under Bosch group), competing against Voltas, Blue Star, Lloyd and LG/Daikin. Returns and margins are weak (near-zero net margin), growth is modest, and the space is intensely competitive and price-driven. The Bosch rebranding is a possible catalyst but is unproven and does not fix the economics.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deep thread read this pass -- filtered at the Step 3 preliminary stage on fundamentals / size / red-flag grounds.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in depth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4,587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at preliminary stage -- does not fit the 10x/100x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neither: ~6% ROE, a near-zero net margin and ~10% growth in a brutally competitive category give no path to a 10x/100x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Bosch rebrand is an optionality, not a demonstrated earnings catalyst; fundamentals remain sub-par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deep thread read; no red-flag tier (profitable, no going-concern issue); conviction Low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2026-08-29T14:32:58.305Z</dcterms:created>
  <dcterms:modified xsi:type="dcterms:W3CDTF">2026-08-29T14:32:58.306Z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