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C2C Advanced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naval/defence C4ISR software with an SME listing -- but a BDO India forensic review, a going-concern-qualified FY26 audit and a books-cooking history make this an AVOID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FY26 audit issued with a going-concern material uncertainty and a qualified opinion; independent forensic review (BDO India LLP, published by NSE) documented RHP-vs-books mismatches, related-party revenue concentration and undisclosed related parties; ~5-year cumulative operating cash flow about -Rs 157 Cr against reported profits.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C2C Advanced Systems builds vertically integrated defence electronics/software -- combat management systems (CMS), decision support systems, C4ISR (MAGI-C4ISR platform), radar/EW/sonar sub-systems -- for naval, army, air and space platforms, plus dual-use Industry 4.0 offerings. Listed on the NSE SME platform. It has an MoU with Adani Defence and orders/POs from the Royal Malaysian Navy and a Canadian naval programme.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430 Cr (NSE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~13.5% / ~8.5% -- weak, and of questionable reliability given the review findings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Reported growth</w:t>
            </w:r>
          </w:p>
        </w:tc>
        <w:tc>
          <w:tcPr>
            <w:tcW w:type="dxa" w:w="5800"/>
          </w:tcPr>
          <w:p>
            <w:r>
              <w:t xml:space="preserve">H1 FY26 revenue ~Rs 66-68 Cr (+56% YoY), H1 PAT ~Rs 24 Cr (+143% YoY) -- then H2 FY26 swung to a loss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Combined CFO of about -Rs 157 Cr over 5 years vs reported profits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Receivables</w:t>
            </w:r>
          </w:p>
        </w:tc>
        <w:tc>
          <w:tcPr>
            <w:tcW w:type="dxa" w:w="5800"/>
          </w:tcPr>
          <w:p>
            <w:r>
              <w:t xml:space="preserve">~349 debtor days, working capital ~524 days; ~78% of sales outstanding at one balance-sheet date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246 - Rs 888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growth looks explosive but is not supported by cash: five-year cumulative operating cash flow is deeply negative while the P&amp;L shows rising profits, and receivables/working-capital days are at the extreme end even for defence. The FY26 full-year picture is worse -- a ~50-day-delayed result, a loss, and a geographic revenue pattern that inverted between halves (domestic ~Rs 66 Cr H1 vs ~Rs 4 Cr H2; USA ~Rs 0 H1 vs ~Rs 76 Cr H2).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stock has fallen ~70-90% from its post-listing high and has hit repeated lower circuits on governance news; price action is not investable here.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(#34-88) of an 88-post thread, Jan 2025 to Aug 2026. The thread turned decisively negative in Feb 2025 when an NSE-pushed BDO India LLP review report documented RHP-vs-books mismatches in related-party disclosures, sales concentration of ~74% to related/connected customers (two undisclosed as related parties), and minimal collections. Members (BuyRightSitTight, Dhvanit_Merchant17, Nabendu, randomquarks, MHS) repeatedly frame it as a case to stay away from and compare it to Gensol. A monitoring-agency report (Oct 2025) reiterated the same issues. In Jul 2026 the auditor issued a going-concern uncertainty and a qualified opinion alongside a loss. Management (concall, Jul 2026) disputes the going-concern reading and says no SEBI matter is pending, but has a documented history of restated/erroneous disclosures.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credible high-conviction buy call from a roster user. Nikunj_Todi (trusted, elevated) posted neutral concall notes on receivable-recovery guidance -- a distressed-situation update, not an endorsement.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2026-07-30 — Nikunj_Todi (trusted, elevated-tier)</w:t>
      </w:r>
      <w:r>
        <w:rPr>
          <w:i/>
          <w:iCs/>
          <w:color w:val="666666"/>
          <w:sz w:val="18"/>
          <w:szCs w:val="18"/>
        </w:rPr>
        <w:t xml:space="preserve"> (C2C Advanced Systems thread)</w:t>
      </w:r>
      <w:r>
        <w:rPr>
          <w:sz w:val="20"/>
          <w:szCs w:val="20"/>
        </w:rPr>
        <w:br/>
        <w:t xml:space="preserve">: Concall notes: new CEO guiding receivable/balance-sheet clean-up by Sept 2026, 80% of &gt;180-day receivables to be collected, EPF dues cleared, quarterly reporting from Mar 2027. Informational; does not address the forensic-review findings.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NSE-published BDO India LLP review report (Feb 2025) and a subsequent monitoring-agency report (Oct 2025) both flag related-party and revenue-recognition issues. FY26 audit carries a going-concern uncertainty and a qualified opinion. Prior CFO resignation. Preferential/warrant issue subsequently cleared by NSE.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niche naval C4ISR/CMS software IP with few Indian peers, and some real POs (Royal Malaysian Navy, a Canadian naval programme)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MoU with Adani Defence for drone/anti-drone and command-and-control software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CEO has given specific, dated receivable-collection guidance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forensic review documents books-cooking: RHP-vs-books mismatches, ~74% sales to related/connected parties, undisclosed related parties, negligible collections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 qualified with a going-concern uncertainty; full-year swung to a loss with an implausible half-on-half revenue geography inversion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157 Cr cumulative negative operating cash flow over 5 years against reported profits; ~349 debtor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of erroneous disclosures and a prior CFO exit; repeated lower circuits on governance news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430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AVOID -- going-concern-qualified audit plus a documented forensic-review history of cooked books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tier AVOID: the FY26 statutory audit carries a going-concern material uncertainty and a qualified opinion, and an NSE-pushed BDO India review independently documented revenue-recognition and related-party manipulation -- this overrides any thesis consideration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reported hyper-growth is contradicted by ~5 years of deeply negative operating cash flow and extreme receivable days; the numbers cannot be relied upon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research pass; no roster user has made a high-conviction buy call -- the only trusted post is a neutral concall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neither, conviction Low; not a candidate under any circumstances until a clean, unqualified audit and demonstrated cash collection appear -- and even then the promoter track record is a lasting overhang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2026-08-29T14:32:56.985Z</dcterms:created>
  <dcterms:modified xsi:type="dcterms:W3CDTF">2026-08-29T14:32:56.996Z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