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Capital Small Finance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Well-run, almost-fully-secured small finance bank from Punjab - a steady compounder, but regulated capital constraints and modest own targets rule out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Capital Small Finance Bank, headquartered in Punjab (converted from a local-area bank in 2016), is a full-service SFB operating across Punjab, Haryana, J&amp;K, Himachal, Rajasthan, Chandigarh and NCR, with ~99% of the loan book secured (agriculture, MSME/trading, mortgage/housing).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1,343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~10.8% (target &gt;15%)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 PAT +29% YoY to ~Rs 41 Cr; advances &amp; deposits growing strongly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Guided growth</w:t>
            </w:r>
          </w:p>
        </w:tc>
        <w:tc>
          <w:tcPr>
            <w:tcW w:type="dxa" w:w="5800"/>
          </w:tcPr>
          <w:p>
            <w:r>
              <w:t xml:space="preserve">~20% loan growth; Vision 2029 implies ~2x loan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~10x, P/B ~1x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207 - 331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conservatively run bank: ~99% secured book, low credit costs even with ~32% agri exposure, experienced management, ~20% guided loan growth and Q1 FY27 PAT up ~29%. Valuation is undemanding (~10x earnings, ~1x book). But three-year ROE is still only ~10.8% (target &gt;15%, not yet achieved), and management's own Vision 2029 implies roughly a doubling of the loan book, not a 10x.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dedicated thread (topic 190098, 5 posts, Mar 2025 - Jul 2026). Sentiment is mildly positive on a value basis - '99% secured book, ~20% growth, P/E ~10, P/B ~1, experienced management... don't see a reason for it to be valued at Rs 1,350 Cr'. One recurring question is how the bank keeps credit costs low with 32%+ agri exposure (answer: strong on-field force, branch-level relationships, low LTV). The main acknowledged weakness is Punjab geographic concentration and low growth versus private-bank peers.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users; no high-conviction call. A couple of retail 'opportunity in plain sight' value posts.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checked; nothing adverse surfaced. Recently raised capital, still being deployed (CD ratio has room).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~99% secured loan book with historically low credit costs - a genuinely low-risk lending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a growing bank (~10x earnings, ~1x book) with ~20% guided loan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Experienced, conservative management; newly raised capital still to be deployed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Regulated bank - loan books can't compound arbitrarily fast without repeated capital raises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Vision 2029 implies only ~2x loan-book growth - a 10x market cap would need large, unlikely multiple expansion on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Three-year ROE only ~10.8%; the &gt;15% target is unmet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geographic concentration in Punjab; growth lags private-bank peers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1,343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cheap, low-risk compounder - but the structure and the bank's own targets cap it well short of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Legacy-108-screen seed (old bucket Tier B 'solid, well-guided growth bank - but even management's own targets don't imply a 10x', frozen 2026-08-15) - that call still holds cleanly under the open-screen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the business is fine, it just isn't a multibagger candidate on this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'neither', conviction LOW (a reasonable steady compounder, not a 10x)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2026-08-27T17:58:07.266Z</dcterms:created>
  <dcterms:modified xsi:type="dcterms:W3CDTF">2026-08-27T17:58:07.266Z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