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Caplin Point Laboratories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generics exporter to Latin America/emerging markets, steady 20%-ish compounder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Caplin Point manufactures and exports generic pharmaceuticals, focused on institutional and retail markets in Latin America and other emerging geographies, with a franchise-led distribution model and consistently high promoter holding.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19,229-19,306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2,287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Rs 678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21.72%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(FY25)</w:t>
            </w:r>
          </w:p>
        </w:tc>
        <w:tc>
          <w:tcPr>
            <w:tcW w:type="dxa" w:w="5800"/>
          </w:tcPr>
          <w:p>
            <w:r>
              <w:t xml:space="preserve">14.4% (below 5-yr CAGR of 17.55%)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up 20.7% to Rs 644 Cr, PAT up 18.8%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70.6% (high, stable)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Consistently strong ROE (~22%), debt-free balance sheet, and high stable promoter holding — genuine quality. Growth has been in the mid-to-high teens (14.4% FY25, but Q1 FY27 reaccelerated to 20.7%), real and profit-backed rather than cosmetic, though not the explosive triple-digit growth needed for a fast 10x.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high/low not found in this pass; not independently verified.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Long-running, active thread (954 posts, latest activity 2026-08-13). Recent discussion centers on Q1 FY27 results analysis (revenue/PAT growth breakdown and investor-presentation review via a Substack analyst).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TKarthik (2026-08-13, 5 loves) shared a two-part Q1 FY27 results breakdown (revenue +20.7% to Rs 644 Cr, PAT +18.8%) from an external analyst substack — informative and data-backed, though a repost/link rather than original independent analysis.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High, stable promoter holding (70.6%) is a positive governance signal, not a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metrics: ROE ~22%, debt-free, 70.6% promoter holding with no signs of erosion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reaccelerated in Q1 FY27 (+20.7% revenue) after a slower FY25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Differentiated LatAm-focused export franchise model, less commoditized than typical US-generics exporters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19,300 Cr) has already crossed into mid-cap territory — a 10x would require becoming one of India's largest pharma companies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rate (mid-teens to low-20s%) is solid but not the explosive triple-digit growth a fast 10x thesis typically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Emerging-market/LatAm exposure carries currency and geopolitical risk not fully explored in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19,300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a genuinely high-quality, well-governed compounder, but size and growth rate don't support a fast 10x-in-2-3-years or a 100x-in-10-years case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quality compounder, not a screen-thesis fit at this size and growth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(~22%), debt-free balance sheet, and stable high promoter holding are all strong quality signals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mid-cap size plus mid-teens-to-20% growth doesn't mathematically support the screen's 10x/100x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viewed as a steady long-term compounder outside this screen's specific mandate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2026-08-21T16:45:01.654Z</dcterms:created>
  <dcterms:modified xsi:type="dcterms:W3CDTF">2026-08-21T16:45:01.658Z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