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5F"/>
          <w:sz w:val="44"/>
          <w:szCs w:val="44"/>
        </w:rPr>
        <w:t xml:space="preserve">Capri Global Capital Ltd</w:t>
      </w:r>
    </w:p>
    <w:p>
      <w:pPr>
        <w:pBdr>
          <w:bottom w:val="single" w:color="CCCCCC" w:sz="6" w:space="8"/>
        </w:pBdr>
        <w:spacing w:after="200"/>
      </w:pPr>
      <w:r>
        <w:rPr>
          <w:i/>
          <w:iCs/>
          <w:color w:val="666666"/>
          <w:sz w:val="22"/>
          <w:szCs w:val="22"/>
        </w:rPr>
        <w:t xml:space="preserve">Diversified NBFC riding the gold-loan supercycle (+111% YoY, now ~46% of AUM) into a genuine ROE inflection (12.6% -&gt; 16.5% -&gt; guided 19-21%) — but the stock is already up ~70% in 6 months to near its all-time high, so the re-rating is largely underway, not ahead of you</w:t>
      </w:r>
    </w:p>
    <w:p>
      <w:pPr>
        <w:pStyle w:val="Heading1"/>
        <w:spacing w:after="120" w:before="280"/>
      </w:pPr>
      <w:r>
        <w:t xml:space="preserve">Business Overview</w:t>
      </w:r>
    </w:p>
    <w:p>
      <w:pPr>
        <w:spacing w:after="120"/>
      </w:pPr>
      <w:r>
        <w:t xml:space="preserve">Diversified NBFC (gold loans, MSME lending, affordable housing finance, construction finance, car loans, insurance distribution) built on what management calls a 'platform-centric, AI-first' lending model — disbursements scaling faster than headcount. Founder/MD Rajesh Sharma has led the business since founding Capri Global (1994/2002 per company sources).</w:t>
      </w:r>
    </w:p>
    <w:p>
      <w:pPr>
        <w:pStyle w:val="Heading1"/>
        <w:spacing w:after="120" w:before="280"/>
      </w:pPr>
      <w:r>
        <w:t xml:space="preserve">Fundamentals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Market Cap</w:t>
            </w:r>
          </w:p>
        </w:tc>
        <w:tc>
          <w:tcPr>
            <w:tcW w:type="dxa" w:w="5800"/>
          </w:tcPr>
          <w:p>
            <w:r>
              <w:t xml:space="preserve">~Rs 26,074 Cr (as of Sep 3, 2026; mid/large-cap)</w:t>
            </w:r>
          </w:p>
        </w:tc>
      </w:tr>
      <w:tr>
        <w:tc>
          <w:tcPr>
            <w:tcW w:type="dxa" w:w="3200"/>
            <w:shd w:fill="F2F2F2" w:val="clear"/>
          </w:tcPr>
          <w:p>
            <w:r>
              <w:rPr>
                <w:b/>
                <w:bCs/>
              </w:rPr>
              <w:t xml:space="preserve">Stock</w:t>
            </w:r>
          </w:p>
        </w:tc>
        <w:tc>
          <w:tcPr>
            <w:tcW w:type="dxa" w:w="5800"/>
          </w:tcPr>
          <w:p>
            <w:r>
              <w:t xml:space="preserve">Rs 271, near its 52-week high of Rs 272 (low Rs 151); up ~70.7% in 6 months, +39% in 1 year</w:t>
            </w:r>
          </w:p>
        </w:tc>
      </w:tr>
      <w:tr>
        <w:tc>
          <w:tcPr>
            <w:tcW w:type="dxa" w:w="3200"/>
            <w:shd w:fill="F2F2F2" w:val="clear"/>
          </w:tcPr>
          <w:p>
            <w:r>
              <w:rPr>
                <w:b/>
                <w:bCs/>
              </w:rPr>
              <w:t xml:space="preserve">AUM</w:t>
            </w:r>
          </w:p>
        </w:tc>
        <w:tc>
          <w:tcPr>
            <w:tcW w:type="dxa" w:w="5800"/>
          </w:tcPr>
          <w:p>
            <w:r>
              <w:t xml:space="preserve">Rs 40,112 Cr, +62% YoY, +10% QoQ (Q1 FY27)</w:t>
            </w:r>
          </w:p>
        </w:tc>
      </w:tr>
      <w:tr>
        <w:tc>
          <w:tcPr>
            <w:tcW w:type="dxa" w:w="3200"/>
            <w:shd w:fill="F2F2F2" w:val="clear"/>
          </w:tcPr>
          <w:p>
            <w:r>
              <w:rPr>
                <w:b/>
                <w:bCs/>
              </w:rPr>
              <w:t xml:space="preserve">PAT</w:t>
            </w:r>
          </w:p>
        </w:tc>
        <w:tc>
          <w:tcPr>
            <w:tcW w:type="dxa" w:w="5800"/>
          </w:tcPr>
          <w:p>
            <w:r>
              <w:t xml:space="preserve">Rs 353 Cr, +102% YoY (Q1 FY27); FY26 PAT Rs 949 Cr, +98% YoY</w:t>
            </w:r>
          </w:p>
        </w:tc>
      </w:tr>
      <w:tr>
        <w:tc>
          <w:tcPr>
            <w:tcW w:type="dxa" w:w="3200"/>
            <w:shd w:fill="F2F2F2" w:val="clear"/>
          </w:tcPr>
          <w:p>
            <w:r>
              <w:rPr>
                <w:b/>
                <w:bCs/>
              </w:rPr>
              <w:t xml:space="preserve">ROE / ROA trajectory</w:t>
            </w:r>
          </w:p>
        </w:tc>
        <w:tc>
          <w:tcPr>
            <w:tcW w:type="dxa" w:w="5800"/>
          </w:tcPr>
          <w:p>
            <w:r>
              <w:t xml:space="preserve">FY26: ROAE 16.5%, ROAA 3.5% (up from ROE 12.6%/ROA 2.8% a year-plus earlier); FY28 guide 19-21% ROE / 4.2-4.7% ROA</w:t>
            </w:r>
          </w:p>
        </w:tc>
      </w:tr>
      <w:tr>
        <w:tc>
          <w:tcPr>
            <w:tcW w:type="dxa" w:w="3200"/>
            <w:shd w:fill="F2F2F2" w:val="clear"/>
          </w:tcPr>
          <w:p>
            <w:r>
              <w:rPr>
                <w:b/>
                <w:bCs/>
              </w:rPr>
              <w:t xml:space="preserve">Gold loans</w:t>
            </w:r>
          </w:p>
        </w:tc>
        <w:tc>
          <w:tcPr>
            <w:tcW w:type="dxa" w:w="5800"/>
          </w:tcPr>
          <w:p>
            <w:r>
              <w:t xml:space="preserve">+111% YoY, now ~46% of AUM — the primary growth/margin engine</w:t>
            </w:r>
          </w:p>
        </w:tc>
      </w:tr>
      <w:tr>
        <w:tc>
          <w:tcPr>
            <w:tcW w:type="dxa" w:w="3200"/>
            <w:shd w:fill="F2F2F2" w:val="clear"/>
          </w:tcPr>
          <w:p>
            <w:r>
              <w:rPr>
                <w:b/>
                <w:bCs/>
              </w:rPr>
              <w:t xml:space="preserve">Asset quality</w:t>
            </w:r>
          </w:p>
        </w:tc>
        <w:tc>
          <w:tcPr>
            <w:tcW w:type="dxa" w:w="5800"/>
          </w:tcPr>
          <w:p>
            <w:r>
              <w:t xml:space="preserve">GNPA down to 0.9% (FY26) from ~1.2-1.3%; construction-finance GNPA rose to 0.7% from 0.3% — a segment to watch</w:t>
            </w:r>
          </w:p>
        </w:tc>
      </w:tr>
      <w:tr>
        <w:tc>
          <w:tcPr>
            <w:tcW w:type="dxa" w:w="3200"/>
            <w:shd w:fill="F2F2F2" w:val="clear"/>
          </w:tcPr>
          <w:p>
            <w:r>
              <w:rPr>
                <w:b/>
                <w:bCs/>
              </w:rPr>
              <w:t xml:space="preserve">Capital</w:t>
            </w:r>
          </w:p>
        </w:tc>
        <w:tc>
          <w:tcPr>
            <w:tcW w:type="dxa" w:w="5800"/>
          </w:tcPr>
          <w:p>
            <w:r>
              <w:t xml:space="preserve">CAR ~30%+, ample for continued growth</w:t>
            </w:r>
          </w:p>
        </w:tc>
      </w:tr>
    </w:tbl>
    <w:p>
      <w:pPr>
        <w:spacing w:after="100"/>
      </w:pPr>
    </w:p>
    <w:p>
      <w:pPr>
        <w:spacing w:after="120"/>
      </w:pPr>
      <w:r>
        <w:t xml:space="preserve">The fundamentals are genuinely accelerating, not just growing: AUM +62% YoY, PAT +102% YoY, and ROE roughly doubling over about 18 months as the gold-loan book scales and operating leverage kicks in (disbursements +87% YoY vs. headcount +19% YoY per a Q3 FY26 concall note). Construction finance GNPA ticking up (0.3% -&gt; 0.7%) is a real, if still small, watch-item in an otherwise strong asset-quality picture. The complication is that the market has already substantially re-rated the stock — it is near its all-time high after a ~70% six-month run — so much of this acceleration is priced.</w:t>
      </w:r>
    </w:p>
    <w:p>
      <w:pPr>
        <w:pStyle w:val="Heading1"/>
        <w:spacing w:after="120" w:before="280"/>
      </w:pPr>
      <w:r>
        <w:t xml:space="preserve">Technical Read (Weekly / Monthly MACD + Bollinger Bands, or RSI/CCI/Williams %R proxy)</w:t>
      </w:r>
    </w:p>
    <w:p>
      <w:pPr>
        <w:spacing w:after="120"/>
      </w:pPr>
      <w:r>
        <w:t xml:space="preserve">Near its 52-week/all-time high (Rs 271 vs. Rs 272 high) as of early Sep 2026, after a strong multi-month uptrend.</w:t>
      </w:r>
    </w:p>
    <w:p>
      <w:pPr>
        <w:pStyle w:val="Heading1"/>
        <w:spacing w:after="120" w:before="280"/>
      </w:pPr>
      <w:r>
        <w:t xml:space="preserve">ValuePickr Community Signal</w:t>
      </w:r>
    </w:p>
    <w:p>
      <w:pPr>
        <w:spacing w:after="120"/>
      </w:pPr>
      <w:r>
        <w:t xml:space="preserve">VP thread (topic 944, 67-70 posts, last active May 2026) shows the community tracking the acceleration in real time: a May 2025 post noted QoQ sales +17%/profit +39%, YoY sales +48%/profit +115%; a Jun 2025 post flagged Quant Mutual Fund taking a ~6% stake; an Oct 2025 post (Umang_Adatia) detailed NII +64% YoY, non-interest income +97% YoY; a Jan/Feb 2026 post (GurpreetSingh) gave a full Q3 FY26 breakdown (AUM +47% YoY, ROA 4%, ROE 15%, GNPA 1.2%) plus color on the AI-first platform strategy; and the most recent post (firefueled, May 2026) summarized a 'very strong FY26' with ROAE 16.5%/ROAA 3.5% and gold loans hitting 46% of AUM. One governance-adjacent thread (Nov 2024, shyamutty, vague 'corporate governance... stock in downfall despite good results,' no specifics given) and one specific allegation (Jul 2025, karthikaithal) asking if founder Rajesh Sharma is the same person chargesheeted in the 2010-11 LIC Housing Finance bribery scandal — see bse_notes for the diligence check on this.</w:t>
      </w:r>
    </w:p>
    <w:p>
      <w:pPr>
        <w:spacing w:after="120"/>
      </w:pPr>
      <w:r>
        <w:rPr>
          <w:b/>
          <w:bCs/>
          <w:sz w:val="20"/>
          <w:szCs w:val="20"/>
        </w:rPr>
        <w:t xml:space="preserve">High-conviction call from a top contributor: </w:t>
      </w:r>
      <w:r>
        <w:rPr>
          <w:sz w:val="20"/>
          <w:szCs w:val="20"/>
        </w:rPr>
        <w:t xml:space="preserve">Strongly and increasingly bullish through 2025-26 as the numbers accelerated; the one specific governance question raised (LIC-scam name-match) was never answered on-thread by anyone with direct knowledge.</w:t>
      </w:r>
    </w:p>
    <w:p>
      <w:pPr>
        <w:pStyle w:val="Heading1"/>
        <w:spacing w:after="120" w:before="280"/>
      </w:pPr>
      <w:r>
        <w:t xml:space="preserve">BSE Corporate Actions / Other Red Flags</w:t>
      </w:r>
    </w:p>
    <w:p>
      <w:pPr>
        <w:spacing w:after="120"/>
      </w:pPr>
      <w:r>
        <w:t xml:space="preserve">Diligence check performed on the Jul-2025 forum question: the 2010-11 LIC Housing Finance bribery case (CBI chargesheet) involved Rajesh Sharma, CMD of 'Money Matters Financial Services.' Capri Global's founder/MD is also named Rajesh Sharma, but company/bio sources describe him as founder of Capri Global since 1994/2002, with no located source confirming he is the same individual as the Money Matters CMD — a common name, no verified link found. Treated as an unresolved-but-unconfirmed concern, not a confirmed red flag; does not meet the EXCLUDE bar (no active SEBI/fraud order located against Capri Global's promoter). The separate vague 'corporate governance' comment (Nov 2024) carried no specifics and could not be independently substantiated. No red_flag_tier set, but this is worth a direct look (company disclosures / promoter bio verification) before sizing any position.</w:t>
      </w:r>
    </w:p>
    <w:p>
      <w:pPr>
        <w:pStyle w:val="Heading1"/>
        <w:spacing w:after="120" w:before="280"/>
      </w:pPr>
      <w:r>
        <w:t xml:space="preserve">Bull Case</w:t>
      </w:r>
    </w:p>
    <w:p>
      <w:pPr>
        <w:pStyle w:val="ListParagraph"/>
        <w:numPr>
          <w:ilvl w:val="0"/>
          <w:numId w:val="1"/>
        </w:numPr>
        <w:spacing w:after="60"/>
      </w:pPr>
      <w:r>
        <w:t xml:space="preserve">AUM +62% YoY and PAT +102% YoY with ROE inflecting from ~12.6% to a guided 19-21% by FY28 — a genuine, evidenced acceleration, not a promise</w:t>
      </w:r>
    </w:p>
    <w:p>
      <w:pPr>
        <w:pStyle w:val="ListParagraph"/>
        <w:numPr>
          <w:ilvl w:val="0"/>
          <w:numId w:val="1"/>
        </w:numPr>
        <w:spacing w:after="60"/>
      </w:pPr>
      <w:r>
        <w:t xml:space="preserve">Gold-loan supercycle exposure (46% of AUM, +111% YoY) ties directly into the live priority-2 'gold financiers' theme (gold price at all-time highs -&gt; PAT)</w:t>
      </w:r>
    </w:p>
    <w:p>
      <w:pPr>
        <w:pStyle w:val="ListParagraph"/>
        <w:numPr>
          <w:ilvl w:val="0"/>
          <w:numId w:val="1"/>
        </w:numPr>
        <w:spacing w:after="60"/>
      </w:pPr>
      <w:r>
        <w:t xml:space="preserve">AI-first, platform-centric lending model showing real operating leverage (disbursements +87% YoY vs. headcount +19% YoY)</w:t>
      </w:r>
    </w:p>
    <w:p>
      <w:pPr>
        <w:pStyle w:val="ListParagraph"/>
        <w:numPr>
          <w:ilvl w:val="0"/>
          <w:numId w:val="1"/>
        </w:numPr>
        <w:spacing w:after="60"/>
      </w:pPr>
      <w:r>
        <w:t xml:space="preserve">Ample capital (CAR ~30%+) to keep funding the growth without near-term dilution pressure</w:t>
      </w:r>
    </w:p>
    <w:p>
      <w:pPr>
        <w:pStyle w:val="Heading1"/>
        <w:spacing w:after="120" w:before="280"/>
      </w:pPr>
      <w:r>
        <w:t xml:space="preserve">Bear Case / Key Risks</w:t>
      </w:r>
    </w:p>
    <w:p>
      <w:pPr>
        <w:pStyle w:val="ListParagraph"/>
        <w:numPr>
          <w:ilvl w:val="0"/>
          <w:numId w:val="1"/>
        </w:numPr>
        <w:spacing w:after="60"/>
      </w:pPr>
      <w:r>
        <w:t xml:space="preserve">Stock already up ~70% in 6 months to near its all-time high — much of the acceleration story is priced in, leaving less margin of safety for new capital</w:t>
      </w:r>
    </w:p>
    <w:p>
      <w:pPr>
        <w:pStyle w:val="ListParagraph"/>
        <w:numPr>
          <w:ilvl w:val="0"/>
          <w:numId w:val="1"/>
        </w:numPr>
        <w:spacing w:after="60"/>
      </w:pPr>
      <w:r>
        <w:t xml:space="preserve">Construction-finance GNPA rising (0.3% -&gt; 0.7%), a segment with a history of lumpiness for this company specifically</w:t>
      </w:r>
    </w:p>
    <w:p>
      <w:pPr>
        <w:pStyle w:val="ListParagraph"/>
        <w:numPr>
          <w:ilvl w:val="0"/>
          <w:numId w:val="1"/>
        </w:numPr>
        <w:spacing w:after="60"/>
      </w:pPr>
      <w:r>
        <w:t xml:space="preserve">An unresolved (if unconfirmed) governance question about the founder's identity/history was raised on the VP thread and never answered</w:t>
      </w:r>
    </w:p>
    <w:p>
      <w:pPr>
        <w:pStyle w:val="ListParagraph"/>
        <w:numPr>
          <w:ilvl w:val="0"/>
          <w:numId w:val="1"/>
        </w:numPr>
        <w:spacing w:after="60"/>
      </w:pPr>
      <w:r>
        <w:t xml:space="preserve">Diversified NBFC model (gold + MSME + housing + construction + car loans) is complex to underwrite from outside; gold-loan concentration risk rises as that segment becomes the dominant growth driver</w:t>
      </w:r>
    </w:p>
    <w:p>
      <w:pPr>
        <w:pStyle w:val="Heading1"/>
        <w:spacing w:after="120" w:before="280"/>
      </w:pPr>
      <w:r>
        <w:t xml:space="preserve">Market-Cap Tier (informational — not a gate in this project)</w:t>
      </w:r>
    </w:p>
    <w:p>
      <w:pPr>
        <w:spacing w:after="120"/>
      </w:pPr>
      <w:r>
        <w:rPr>
          <w:b/>
          <w:bCs/>
        </w:rPr>
        <w:t xml:space="preserve">Mid/large-cap (~Rs 26,074 Cr)</w:t>
      </w:r>
    </w:p>
    <w:p>
      <w:pPr>
        <w:pStyle w:val="Heading1"/>
        <w:spacing w:after="120" w:before="280"/>
      </w:pPr>
      <w:r>
        <w:t xml:space="preserve">Thesis Fit</w:t>
      </w:r>
    </w:p>
    <w:p>
      <w:pPr>
        <w:spacing w:after="120"/>
      </w:pPr>
      <w:r>
        <w:rPr>
          <w:b/>
          <w:bCs/>
          <w:sz w:val="24"/>
          <w:szCs w:val="24"/>
        </w:rPr>
        <w:t xml:space="preserve">10x-in-2-3-years</w:t>
      </w:r>
    </w:p>
    <w:p>
      <w:pPr>
        <w:spacing w:after="120"/>
      </w:pPr>
      <w:r>
        <w:rPr>
          <w:color w:val="666666"/>
          <w:sz w:val="20"/>
          <w:szCs w:val="20"/>
        </w:rPr>
        <w:t xml:space="preserve">4-box gate — tailwind: yes · TAM: weak · moat: weak · valuation: no  (score 2 / 4)</w:t>
      </w:r>
    </w:p>
    <w:p>
      <w:pPr>
        <w:spacing w:after="120"/>
      </w:pPr>
      <w:r>
        <w:rPr>
          <w:i/>
          <w:iCs/>
          <w:color w:val="666666"/>
          <w:sz w:val="20"/>
          <w:szCs w:val="20"/>
        </w:rPr>
        <w:t xml:space="preserve">tailwind yes (gold-price supercycle + broad-based credit-penetration growth across MSME/housing/gold, a live theme). tam weak (Rs 26,000 Cr already; a literal 10x would require becoming one of India's largest NBFCs — arithmetic headroom exists but is a stretch, not a clean case). moat weak (execution/platform edge, but gold-loan and MSME lending are competitive with Muthoot, Manappuram, IIFL and others). valuation no (near all-time high after a ~70% 6-month run; the re-rating is substantially underway). Score 2.0 -&gt; per the decision table this would default to 'neither', BUT the growth here is genuinely un-ignorable (AUM +62%, PAT +102%, ROE nearly doubling in 18 months, evidenced not projected) -- taking the phrase's carve-out exception: thesis_fit allowed as 10x-in-2-3-years, conviction capped at Medium with an 'unconfirmed' caveat given the valuation box is a clean 'no'.</w:t>
      </w:r>
    </w:p>
    <w:p>
      <w:pPr>
        <w:pStyle w:val="Heading1"/>
        <w:spacing w:after="120" w:before="280"/>
      </w:pPr>
      <w:r>
        <w:t xml:space="preserve">Verdict</w:t>
      </w:r>
    </w:p>
    <w:p>
      <w:pPr>
        <w:spacing w:after="120"/>
      </w:pPr>
      <w:r>
        <w:rPr>
          <w:b/>
          <w:bCs/>
          <w:sz w:val="24"/>
          <w:szCs w:val="24"/>
        </w:rPr>
      </w:r>
    </w:p>
    <w:p>
      <w:pPr>
        <w:pStyle w:val="ListParagraph"/>
        <w:numPr>
          <w:ilvl w:val="0"/>
          <w:numId w:val="1"/>
        </w:numPr>
        <w:spacing w:after="60"/>
      </w:pPr>
      <w:r>
        <w:t xml:space="preserve">External-lead (tier 4.5, @StocksAndStoics). Live-theme match: 'Gold financiers' (priority 2) — direct hit, gold loans are now 46% of AUM and the primary growth engine. four_box score 2.0, but the growth-magnitude exception (phrase's carve-out: 'un-ignorable' evidenced growth) is invoked in writing here per the decision table -&gt; thesis_fit '10x-in-2-3-years' permitted, conviction capped at Medium with an unconfirmed caveat (the valuation box is a clean 'no' at near-all-time-highs, so the label reflects the trajectory, not an entry-price judgment).</w:t>
      </w:r>
    </w:p>
    <w:p>
      <w:pPr>
        <w:pStyle w:val="ListParagraph"/>
        <w:numPr>
          <w:ilvl w:val="0"/>
          <w:numId w:val="1"/>
        </w:numPr>
        <w:spacing w:after="60"/>
      </w:pPr>
      <w:r>
        <w:t xml:space="preserve">Conviction Medium (not higher): the fundamental acceleration is real and evidenced, but (a) the stock has already re-rated substantially, reducing the margin of safety, and (b) the unresolved founder-identity governance question, while unconfirmed, was never answered on-thread and should be independently verified before any material sizing decision.</w:t>
      </w:r>
    </w:p>
    <w:p>
      <w:pPr>
        <w:pStyle w:val="ListParagraph"/>
        <w:numPr>
          <w:ilvl w:val="0"/>
          <w:numId w:val="1"/>
        </w:numPr>
        <w:spacing w:after="60"/>
      </w:pPr>
      <w:r>
        <w:t xml:space="preserve">No red_flag_tier set — the governance question did not clear the bar for AVOID/EXCLUDE/HIGH CAUTION given no verified link and no active order found, but it is explicitly flagged for follow-up diligence.</w:t>
      </w:r>
    </w:p>
    <w:p>
      <w:pPr>
        <w:pStyle w:val="ListParagraph"/>
        <w:numPr>
          <w:ilvl w:val="0"/>
          <w:numId w:val="1"/>
        </w:numPr>
        <w:spacing w:after="60"/>
      </w:pPr>
      <w:r>
        <w:t xml:space="preserve">revisit_after_30d: true (conviction Medium-High/High AND no red flag AND thesis_fit != neither is the stated rule; conviction here is Medium not Medium-High, so per the literal rule this does NOT qualify for the automatic flag — left false; recommend manual tracking given the live re-rating regardless).</w:t>
      </w:r>
    </w:p>
    <w:p>
      <w:pPr>
        <w:pBdr>
          <w:top w:val="single" w:color="CCCCCC" w:sz="6" w:space="8"/>
        </w:pBdr>
        <w:spacing w:before="300"/>
      </w:pPr>
      <w:r>
        <w:rPr>
          <w:i/>
          <w:iCs/>
          <w:color w:val="666666"/>
          <w:sz w:val="18"/>
          <w:szCs w:val="18"/>
        </w:rPr>
        <w:t xml:space="preserve">This is independent research and analysis for informational purposes only, not personalized financial or investment advice. Past multi-bagger performance and forum/social sentiment are not indicators of future returns. Do your own due diligence before investing.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2026-09-04T13:37:14.596Z</dcterms:created>
  <dcterms:modified xsi:type="dcterms:W3CDTF">2026-09-04T13:37:14.596Z</dcterms:modified>
</cp:coreProperties>
</file>

<file path=docProps/custom.xml><?xml version="1.0" encoding="utf-8"?>
<Properties xmlns="http://schemas.openxmlformats.org/officeDocument/2006/custom-properties" xmlns:vt="http://schemas.openxmlformats.org/officeDocument/2006/docPropsVTypes"/>
</file>