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CarTrade Tech Ltd</w:t>
      </w:r>
    </w:p>
    <w:p>
      <w:pPr>
        <w:pBdr>
          <w:bottom w:val="single" w:color="CCCCCC" w:sz="6" w:space="8"/>
        </w:pBdr>
        <w:spacing w:after="200"/>
      </w:pPr>
      <w:r>
        <w:rPr>
          <w:i/>
          <w:iCs/>
          <w:color w:val="666666"/>
          <w:sz w:val="22"/>
          <w:szCs w:val="22"/>
        </w:rPr>
        <w:t xml:space="preserve">Multi-channel auto digital platform with credible 4x-profit management guidance and margin expansion, but weak returns and a size that no longer fits an aggressive multibagger thesis</w:t>
      </w:r>
    </w:p>
    <w:p>
      <w:pPr>
        <w:pStyle w:val="Heading1"/>
        <w:spacing w:after="120" w:before="280"/>
      </w:pPr>
      <w:r>
        <w:t xml:space="preserve">Business Overview</w:t>
      </w:r>
    </w:p>
    <w:p>
      <w:pPr>
        <w:spacing w:after="120"/>
      </w:pPr>
      <w:r>
        <w:t xml:space="preserve">CarTrade Tech operates a multi-channel automotive digital platform (CarTrade, CarWale, Shriram Automall, and others), spanning new/used car classifieds, auctions, and related services, with OLX India as a further owned asset.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14,700 Cr</w:t>
            </w:r>
          </w:p>
        </w:tc>
      </w:tr>
      <w:tr>
        <w:tc>
          <w:tcPr>
            <w:tcW w:type="dxa" w:w="3200"/>
            <w:shd w:fill="F2F2F2" w:val="clear"/>
          </w:tcPr>
          <w:p>
            <w:r>
              <w:rPr>
                <w:b/>
                <w:bCs/>
              </w:rPr>
              <w:t xml:space="preserve">ROCE</w:t>
            </w:r>
          </w:p>
        </w:tc>
        <w:tc>
          <w:tcPr>
            <w:tcW w:type="dxa" w:w="5800"/>
          </w:tcPr>
          <w:p>
            <w:r>
              <w:t xml:space="preserve">still weak (~2-7.5% range across sources)</w:t>
            </w:r>
          </w:p>
        </w:tc>
      </w:tr>
      <w:tr>
        <w:tc>
          <w:tcPr>
            <w:tcW w:type="dxa" w:w="3200"/>
            <w:shd w:fill="F2F2F2" w:val="clear"/>
          </w:tcPr>
          <w:p>
            <w:r>
              <w:rPr>
                <w:b/>
                <w:bCs/>
              </w:rPr>
              <w:t xml:space="preserve">ROE</w:t>
            </w:r>
          </w:p>
        </w:tc>
        <w:tc>
          <w:tcPr>
            <w:tcW w:type="dxa" w:w="5800"/>
          </w:tcPr>
          <w:p>
            <w:r>
              <w:t xml:space="preserve">~5% (3yr avg, weak)</w:t>
            </w:r>
          </w:p>
        </w:tc>
      </w:tr>
      <w:tr>
        <w:tc>
          <w:tcPr>
            <w:tcW w:type="dxa" w:w="3200"/>
            <w:shd w:fill="F2F2F2" w:val="clear"/>
          </w:tcPr>
          <w:p>
            <w:r>
              <w:rPr>
                <w:b/>
                <w:bCs/>
              </w:rPr>
              <w:t xml:space="preserve">Revenue growth</w:t>
            </w:r>
          </w:p>
        </w:tc>
        <w:tc>
          <w:tcPr>
            <w:tcW w:type="dxa" w:w="5800"/>
          </w:tcPr>
          <w:p>
            <w:r>
              <w:t xml:space="preserve">Q4FY26 total income +19% YoY Rs 203 Cr; Q1FY27 total income +16% YoY to a record ~Rs 230 Cr; 10yr median sales growth ~24%</w:t>
            </w:r>
          </w:p>
        </w:tc>
      </w:tr>
      <w:tr>
        <w:tc>
          <w:tcPr>
            <w:tcW w:type="dxa" w:w="3200"/>
            <w:shd w:fill="F2F2F2" w:val="clear"/>
          </w:tcPr>
          <w:p>
            <w:r>
              <w:rPr>
                <w:b/>
                <w:bCs/>
              </w:rPr>
              <w:t xml:space="preserve">Profit growth</w:t>
            </w:r>
          </w:p>
        </w:tc>
        <w:tc>
          <w:tcPr>
            <w:tcW w:type="dxa" w:w="5800"/>
          </w:tcPr>
          <w:p>
            <w:r>
              <w:t xml:space="preserve">Q4FY26 PAT +54% YoY Rs 71 Cr (OPM 27%-&gt;35%); Q1FY27 PAT +21% YoY ~Rs 57 Cr; Q1FY27 Adj EBITDA +45% YoY, margin ~25%-&gt;31%; 5yr PAT CAGR ~20%</w:t>
            </w:r>
          </w:p>
        </w:tc>
      </w:tr>
      <w:tr>
        <w:tc>
          <w:tcPr>
            <w:tcW w:type="dxa" w:w="3200"/>
            <w:shd w:fill="F2F2F2" w:val="clear"/>
          </w:tcPr>
          <w:p>
            <w:r>
              <w:rPr>
                <w:b/>
                <w:bCs/>
              </w:rPr>
              <w:t xml:space="preserve">Debt / cash</w:t>
            </w:r>
          </w:p>
        </w:tc>
        <w:tc>
          <w:tcPr>
            <w:tcW w:type="dxa" w:w="5800"/>
          </w:tcPr>
          <w:p>
            <w:r>
              <w:t xml:space="preserve">Zero debt; ~Rs 1,321 Cr cash</w:t>
            </w:r>
          </w:p>
        </w:tc>
      </w:tr>
    </w:tbl>
    <w:p>
      <w:pPr>
        <w:spacing w:after="100"/>
      </w:pPr>
    </w:p>
    <w:p>
      <w:pPr>
        <w:spacing w:after="120"/>
      </w:pPr>
      <w:r>
        <w:t xml:space="preserve">RE-VERIFICATION (2026-09-02, triggered by a Sovrenn Daily News datapoint on the Q4FY26 operating-leverage step-up). The operating leverage is real and confirmed: Q4FY26 OPM went 27%-&gt;35% with PAT +54% YoY, and Q1FY27 kept it up (Adj EBITDA +45% YoY, margin ~25%-&gt;31%, PAT +21% YoY on a record ~Rs 230 Cr total income). But the topline is still only growing mid-to-high teens, PAT growth has already decelerated sequentially (+54% Q4FY26 -&gt; +21% Q1FY27 as the base normalises), and ROCE/ROE remain weak for a ~Rs 14,700 Cr market cap. Zero debt, ~Rs 1,321 Cr cash. Net effect: the margin story is playing out as the trusted thread had said it would, but it does not change the size/growth math behind the 'neither' call.</w:t>
      </w:r>
    </w:p>
    <w:p>
      <w:pPr>
        <w:pStyle w:val="Heading1"/>
        <w:spacing w:after="120" w:before="280"/>
      </w:pPr>
      <w:r>
        <w:t xml:space="preserve">Technical Read (Weekly / Monthly MACD + Bollinger Bands, or RSI/CCI/Williams %R proxy)</w:t>
      </w:r>
    </w:p>
    <w:p>
      <w:pPr>
        <w:spacing w:after="120"/>
      </w:pPr>
      <w:r>
        <w:t xml:space="preserve">Not pulled this pass.</w:t>
      </w:r>
    </w:p>
    <w:p>
      <w:pPr>
        <w:pStyle w:val="Heading1"/>
        <w:spacing w:after="120" w:before="280"/>
      </w:pPr>
      <w:r>
        <w:t xml:space="preserve">ValuePickr Community Signal</w:t>
      </w:r>
    </w:p>
    <w:p>
      <w:pPr>
        <w:spacing w:after="120"/>
      </w:pPr>
      <w:r>
        <w:t xml:space="preserve">No new forum activity since the prior read - the thread (cartrade-tech-ltd-a-multi-channel-auto-platform, topic 65499, resolved via Step 3.05 this run) is still at post #148, the same checkpoint the prior write-up analyzed (#90-148). Prior VP thread read stands. Gautam_Chopra (trusted, elevated-tier) was the most consistently active poster through 2024-2025, with Midhunjoe and tbhavesh (both trusted, elevated-tier) also regularly engaged into 2026.</w:t>
      </w:r>
    </w:p>
    <w:p>
      <w:pPr>
        <w:spacing w:after="120"/>
      </w:pPr>
      <w:r>
        <w:rPr>
          <w:b/>
          <w:bCs/>
          <w:sz w:val="20"/>
          <w:szCs w:val="20"/>
        </w:rPr>
        <w:t xml:space="preserve">High-conviction call from a top contributor: </w:t>
      </w:r>
      <w:r>
        <w:rPr>
          <w:sz w:val="20"/>
          <w:szCs w:val="20"/>
        </w:rPr>
        <w:t xml:space="preserve">Gautam_Chopra (trusted) reported (Jan 2025) that all three business verticals delivered highest-ever revenue and profit with profit growth outpacing revenue growth on operating leverage. Midhunjoe (trusted, Jan 2026) highlighted continuing quarter-on-quarter operating margin expansion (to 37%, management guiding further expansion). rks00 (non-trusted, May 2026, detailed) reported management's own guidance to roughly quadruple PAT from Rs 243 Cr to ~Rs 1,000 Cr over the next 4 years -- a specific, credible target, though management is described as normally cagey about forward guidance, making this notable. tbhavesh (trusted) flagged in Feb 2026 that revenue growth has slowed even as margins expand, and separately noted meaningful institutional (DII/FII) selling into retail buying around the same period. rahulshares (non-trusted, Feb 2026) argued the stock is cheap on a ~35x FCF basis versus other new-age platform companies. Midhunjoe (Jul 2026, most recent) noted peer Cardekho's planned IPO at a Rs 13,000 Cr valuation, similar to CarTrade's own valuation, with OLX and Shriram Automall as additional unpriced optionality.</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2026-07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2026-02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2026-01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2025-01 — undefined</w:t>
      </w:r>
      <w:r>
        <w:rPr>
          <w:i/>
          <w:iCs/>
          <w:color w:val="666666"/>
          <w:sz w:val="18"/>
          <w:szCs w:val="18"/>
        </w:rPr>
        <w:t xml:space="preserve"/>
      </w:r>
      <w:r>
        <w:rPr>
          <w:sz w:val="20"/>
          <w:szCs w:val="20"/>
        </w:rPr>
        <w:br/>
        <w:t xml:space="preserve">: undefined</w:t>
      </w:r>
    </w:p>
    <w:p>
      <w:pPr>
        <w:pStyle w:val="Heading1"/>
        <w:spacing w:after="120" w:before="280"/>
      </w:pPr>
      <w:r>
        <w:t xml:space="preserve">BSE Corporate Actions / Other Red Flags</w:t>
      </w:r>
    </w:p>
    <w:p>
      <w:pPr>
        <w:spacing w:after="120"/>
      </w:pPr>
      <w:r>
        <w:t xml:space="preserve">Not checked this pass.</w:t>
      </w:r>
    </w:p>
    <w:p>
      <w:pPr>
        <w:pStyle w:val="Heading1"/>
        <w:spacing w:after="120" w:before="280"/>
      </w:pPr>
      <w:r>
        <w:t xml:space="preserve">Bull Case</w:t>
      </w:r>
    </w:p>
    <w:p>
      <w:pPr>
        <w:pStyle w:val="ListParagraph"/>
        <w:numPr>
          <w:ilvl w:val="0"/>
          <w:numId w:val="1"/>
        </w:numPr>
        <w:spacing w:after="60"/>
      </w:pPr>
      <w:r>
        <w:t xml:space="preserve">Management's own specific, credible guidance to roughly 4x PAT (Rs 243 Cr to ~Rs 1,000 Cr) over 4 years, from a management not normally given to forward guidance</w:t>
      </w:r>
    </w:p>
    <w:p>
      <w:pPr>
        <w:pStyle w:val="ListParagraph"/>
        <w:numPr>
          <w:ilvl w:val="0"/>
          <w:numId w:val="1"/>
        </w:numPr>
        <w:spacing w:after="60"/>
      </w:pPr>
      <w:r>
        <w:t xml:space="preserve">Consistent quarter-on-quarter operating margin expansion (to 37%) with all three business verticals hitting highest-ever revenue and profit</w:t>
      </w:r>
    </w:p>
    <w:p>
      <w:pPr>
        <w:pStyle w:val="ListParagraph"/>
        <w:numPr>
          <w:ilvl w:val="0"/>
          <w:numId w:val="1"/>
        </w:numPr>
        <w:spacing w:after="60"/>
      </w:pPr>
      <w:r>
        <w:t xml:space="preserve">Multiple trusted users engaged consistently over 2+ years with real substance, not just sentiment</w:t>
      </w:r>
    </w:p>
    <w:p>
      <w:pPr>
        <w:pStyle w:val="ListParagraph"/>
        <w:numPr>
          <w:ilvl w:val="0"/>
          <w:numId w:val="1"/>
        </w:numPr>
        <w:spacing w:after="60"/>
      </w:pPr>
      <w:r>
        <w:t xml:space="preserve">OLX India and Shriram Automall provide additional, currently unpriced optionality versus peer valuations (e.g., Cardekho's planned IPO)</w:t>
      </w:r>
    </w:p>
    <w:p>
      <w:pPr>
        <w:pStyle w:val="Heading1"/>
        <w:spacing w:after="120" w:before="280"/>
      </w:pPr>
      <w:r>
        <w:t xml:space="preserve">Bear Case / Key Risks</w:t>
      </w:r>
    </w:p>
    <w:p>
      <w:pPr>
        <w:pStyle w:val="ListParagraph"/>
        <w:numPr>
          <w:ilvl w:val="0"/>
          <w:numId w:val="1"/>
        </w:numPr>
        <w:spacing w:after="60"/>
      </w:pPr>
      <w:r>
        <w:t xml:space="preserve">ROCE (7.48%) and ROE (5.65-6.06%) remain weak for a company already at Rs 14,907 Cr market cap</w:t>
      </w:r>
    </w:p>
    <w:p>
      <w:pPr>
        <w:pStyle w:val="ListParagraph"/>
        <w:numPr>
          <w:ilvl w:val="0"/>
          <w:numId w:val="1"/>
        </w:numPr>
        <w:spacing w:after="60"/>
      </w:pPr>
      <w:r>
        <w:t xml:space="preserve">A trusted user flagged that revenue growth has slowed even as the market rewards margin expansion -- a real question of how long margin-driven earnings growth alone can sustain the valuation</w:t>
      </w:r>
    </w:p>
    <w:p>
      <w:pPr>
        <w:pStyle w:val="ListParagraph"/>
        <w:numPr>
          <w:ilvl w:val="0"/>
          <w:numId w:val="1"/>
        </w:numPr>
        <w:spacing w:after="60"/>
      </w:pPr>
      <w:r>
        <w:t xml:space="preserve">Institutional investors were reported reducing positions into retail buying around Feb 2026, a mixed signal on smart-money conviction</w:t>
      </w:r>
    </w:p>
    <w:p>
      <w:pPr>
        <w:pStyle w:val="ListParagraph"/>
        <w:numPr>
          <w:ilvl w:val="0"/>
          <w:numId w:val="1"/>
        </w:numPr>
        <w:spacing w:after="60"/>
      </w:pPr>
      <w:r>
        <w:t xml:space="preserve">Management's own 4x-in-4-years framing implies roughly 40-45% annualized PAT growth -- strong, but well short of what a 10x-in-2-3-years thesis requires</w:t>
      </w:r>
    </w:p>
    <w:p>
      <w:pPr>
        <w:pStyle w:val="Heading1"/>
        <w:spacing w:after="120" w:before="280"/>
      </w:pPr>
      <w:r>
        <w:t xml:space="preserve">Market-Cap Tier (informational — not a gate in this project)</w:t>
      </w:r>
    </w:p>
    <w:p>
      <w:pPr>
        <w:spacing w:after="120"/>
      </w:pPr>
      <w:r>
        <w:rPr>
          <w:b/>
          <w:bCs/>
        </w:rPr>
        <w:t xml:space="preserve">Mid-large-cap (~Rs 14,700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Re-verified: operating leverage is playing out exactly as the trusted thread expected, but mid-teens topline + already-decelerating PAT growth + a ~Rs 14,700 Cr size keep this out of the 10x/100x framework</w:t>
      </w:r>
    </w:p>
    <w:p>
      <w:pPr>
        <w:pStyle w:val="ListParagraph"/>
        <w:numPr>
          <w:ilvl w:val="0"/>
          <w:numId w:val="1"/>
        </w:numPr>
        <w:spacing w:after="60"/>
      </w:pPr>
      <w:r>
        <w:t xml:space="preserve">Re-verification prompted by a Sovrenn Daily News datapoint on the Q4FY26 operating-leverage step-up (OPM 27%-&gt;35%, PAT +54% YoY). Confirmed and extended by Q1FY27 (Adj EBITDA +45% YoY, margin ~25%-&gt;31%), so the margin thesis is real - but Q1FY27 PAT growth had already normalised to +21% YoY and the topline is only mid-teens</w:t>
      </w:r>
    </w:p>
    <w:p>
      <w:pPr>
        <w:pStyle w:val="ListParagraph"/>
        <w:numPr>
          <w:ilvl w:val="0"/>
          <w:numId w:val="1"/>
        </w:numPr>
        <w:spacing w:after="60"/>
      </w:pPr>
      <w:r>
        <w:t xml:space="preserve">Change from the prior Medium/'neither' call: none on direction. Management's own 4x-PAT-in-4-years guide is ~40% CAGR - not a 10x-in-2-3-years (~115% CAGR) or 100x-in-10-years (~58% CAGR) path - and this is 'good business + operating leverage', not the specific named management/structural inflection the large-cap exception requires</w:t>
      </w:r>
    </w:p>
    <w:p>
      <w:pPr>
        <w:pStyle w:val="ListParagraph"/>
        <w:numPr>
          <w:ilvl w:val="0"/>
          <w:numId w:val="1"/>
        </w:numPr>
        <w:spacing w:after="60"/>
      </w:pPr>
      <w:r>
        <w:t xml:space="preserve">Conviction held at Medium: genuine business quality, zero debt, ~Rs 1,321 Cr cash and consistent multi-year trusted engagement, offset by weak ROCE/ROE and decelerating profit growth. conviction_needs_reverification cleared; thesis_fit stays neither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2026-09-02T12:43:58.039Z</dcterms:created>
  <dcterms:modified xsi:type="dcterms:W3CDTF">2026-09-02T12:43:58.044Z</dcterms:modified>
</cp:coreProperties>
</file>

<file path=docProps/custom.xml><?xml version="1.0" encoding="utf-8"?>
<Properties xmlns="http://schemas.openxmlformats.org/officeDocument/2006/custom-properties" xmlns:vt="http://schemas.openxmlformats.org/officeDocument/2006/docPropsVTypes"/>
</file>