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Central Depository Services (India) Ltd (CDSL)</w:t>
      </w:r>
    </w:p>
    <w:p>
      <w:pPr>
        <w:pBdr>
          <w:bottom w:val="single" w:color="CCCCCC" w:sz="6" w:space="8"/>
        </w:pBdr>
        <w:spacing w:after="200"/>
      </w:pPr>
      <w:r>
        <w:rPr>
          <w:i/>
          <w:iCs/>
          <w:color w:val="666666"/>
          <w:sz w:val="22"/>
          <w:szCs w:val="22"/>
        </w:rPr>
        <w:t xml:space="preserve">High-quality regulated near-monopoly (with NSDL) on demat infrastructure - debt-free, 45%+ margins - but a ~Rs 28,000 Cr large-cap on ~63x earnings whose profit growth is structurally capped by SEBI price cuts; does not fit a 10x-in-2-3-years thesis</w:t>
      </w:r>
    </w:p>
    <w:p>
      <w:pPr>
        <w:pStyle w:val="Heading1"/>
        <w:spacing w:after="120" w:before="280"/>
      </w:pPr>
      <w:r>
        <w:t xml:space="preserve">Business Overview</w:t>
      </w:r>
    </w:p>
    <w:p>
      <w:pPr>
        <w:spacing w:after="120"/>
      </w:pPr>
      <w:r>
        <w:t xml:space="preserve">CDSL operates one of India's two securities depositories, earning annuity (annual issuer charges), transaction, KYC (via CVL), data and e-voting fees. ~80% market share by demat accounts (18.6 Cr accounts, 588 DPs as of Jun 2026). Duopoly with NSDL, which listed in 2025, removing CDSL's 'only listed depository' scarcity premium.</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28,100 Cr (large-cap)</w:t>
            </w:r>
          </w:p>
        </w:tc>
      </w:tr>
      <w:tr>
        <w:tc>
          <w:tcPr>
            <w:tcW w:type="dxa" w:w="3200"/>
            <w:shd w:fill="F2F2F2" w:val="clear"/>
          </w:tcPr>
          <w:p>
            <w:r>
              <w:rPr>
                <w:b/>
                <w:bCs/>
              </w:rPr>
              <w:t xml:space="preserve">ROCE / ROE</w:t>
            </w:r>
          </w:p>
        </w:tc>
        <w:tc>
          <w:tcPr>
            <w:tcW w:type="dxa" w:w="5800"/>
          </w:tcPr>
          <w:p>
            <w:r>
              <w:t xml:space="preserve">~32% / ~24.5% (3-yr ROE ~29%)</w:t>
            </w:r>
          </w:p>
        </w:tc>
      </w:tr>
      <w:tr>
        <w:tc>
          <w:tcPr>
            <w:tcW w:type="dxa" w:w="3200"/>
            <w:shd w:fill="F2F2F2" w:val="clear"/>
          </w:tcPr>
          <w:p>
            <w:r>
              <w:rPr>
                <w:b/>
                <w:bCs/>
              </w:rPr>
              <w:t xml:space="preserve">Revenue growth</w:t>
            </w:r>
          </w:p>
        </w:tc>
        <w:tc>
          <w:tcPr>
            <w:tcW w:type="dxa" w:w="5800"/>
          </w:tcPr>
          <w:p>
            <w:r>
              <w:t xml:space="preserve">Q1 FY27 revenue +11.4% QoQ, PAT +47.5% QoQ (aided by ~Rs 39.5 Cr subsidiary dividend income); FY26 YoY muted/declining on dull markets</w:t>
            </w:r>
          </w:p>
        </w:tc>
      </w:tr>
      <w:tr>
        <w:tc>
          <w:tcPr>
            <w:tcW w:type="dxa" w:w="3200"/>
            <w:shd w:fill="F2F2F2" w:val="clear"/>
          </w:tcPr>
          <w:p>
            <w:r>
              <w:rPr>
                <w:b/>
                <w:bCs/>
              </w:rPr>
              <w:t xml:space="preserve">Margins</w:t>
            </w:r>
          </w:p>
        </w:tc>
        <w:tc>
          <w:tcPr>
            <w:tcW w:type="dxa" w:w="5800"/>
          </w:tcPr>
          <w:p>
            <w:r>
              <w:t xml:space="preserve">Operating margin ~45%, net margin ~40%</w:t>
            </w:r>
          </w:p>
        </w:tc>
      </w:tr>
      <w:tr>
        <w:tc>
          <w:tcPr>
            <w:tcW w:type="dxa" w:w="3200"/>
            <w:shd w:fill="F2F2F2" w:val="clear"/>
          </w:tcPr>
          <w:p>
            <w:r>
              <w:rPr>
                <w:b/>
                <w:bCs/>
              </w:rPr>
              <w:t xml:space="preserve">Cash flow / debt</w:t>
            </w:r>
          </w:p>
        </w:tc>
        <w:tc>
          <w:tcPr>
            <w:tcW w:type="dxa" w:w="5800"/>
          </w:tcPr>
          <w:p>
            <w:r>
              <w:t xml:space="preserve">Virtually debt-free (D/E ~0); large cash + investments</w:t>
            </w:r>
          </w:p>
        </w:tc>
      </w:tr>
      <w:tr>
        <w:tc>
          <w:tcPr>
            <w:tcW w:type="dxa" w:w="3200"/>
            <w:shd w:fill="F2F2F2" w:val="clear"/>
          </w:tcPr>
          <w:p>
            <w:r>
              <w:rPr>
                <w:b/>
                <w:bCs/>
              </w:rPr>
              <w:t xml:space="preserve">Valuation</w:t>
            </w:r>
          </w:p>
        </w:tc>
        <w:tc>
          <w:tcPr>
            <w:tcW w:type="dxa" w:w="5800"/>
          </w:tcPr>
          <w:p>
            <w:r>
              <w:t xml:space="preserve">~63x earnings; 52-week range Rs 1,116 - 1,674</w:t>
            </w:r>
          </w:p>
        </w:tc>
      </w:tr>
    </w:tbl>
    <w:p>
      <w:pPr>
        <w:spacing w:after="100"/>
      </w:pPr>
    </w:p>
    <w:p>
      <w:pPr>
        <w:spacing w:after="120"/>
      </w:pPr>
      <w:r>
        <w:t xml:space="preserve">Best-in-class economics - 45%+ operating margins, ~32% ROCE, debt-free, strong FCF - but the growth algorithm is capped. SEBI has repeatedly cut the fees CDSL can charge (KYC fetch rate cut ~20% from Apr 2026, KRA creation charges cut ~75%), and management's stated aim is financial inclusion, not profit maximisation - whenever it is seen to earn 'too much', charges are reset lower. FY26 earnings actually declined YoY on weak market activity; Q1 FY27 optics were flattered by intra-year subsidiary dividend income. NSDL's listing has also compressed the scarcity premium.</w:t>
      </w:r>
    </w:p>
    <w:p>
      <w:pPr>
        <w:pStyle w:val="Heading1"/>
        <w:spacing w:after="120" w:before="280"/>
      </w:pPr>
      <w:r>
        <w:t xml:space="preserve">Technical Read (Weekly / Monthly MACD + Bollinger Bands, or RSI/CCI/Williams %R proxy)</w:t>
      </w:r>
    </w:p>
    <w:p>
      <w:pPr>
        <w:spacing w:after="120"/>
      </w:pPr>
      <w:r>
        <w:t xml:space="preserve">Not independently pulled. Well off its 52-week high; de-rated alongside the broader capital-market-plays basket and post-NSDL listing.</w:t>
      </w:r>
    </w:p>
    <w:p>
      <w:pPr>
        <w:pStyle w:val="Heading1"/>
        <w:spacing w:after="120" w:before="280"/>
      </w:pPr>
      <w:r>
        <w:t xml:space="preserve">ValuePickr Community Signal</w:t>
      </w:r>
    </w:p>
    <w:p>
      <w:pPr>
        <w:spacing w:after="120"/>
      </w:pPr>
      <w:r>
        <w:t xml:space="preserve">Read the most recent 30 of 412 posts (Jul 2025 to Aug 2026) in the 'stock for our children' thread. karanshah137 (elevated) posts every quarter and is 'Invested', but explicitly flags 'P/E is unsustainable at these levels with this growth' and that KYC rates 'will sustain or go down further once unified KYC is implemented'. Ravi1 provides deep, balanced regulatory analysis - notes charges have only been cut, never raised since ~2014-15, and that the duopoly 'moat' is real but bounded. vikas_chandrawat is invested for 10-15 years but questions capital allocation (Rs 240 Cr into 'trophy' office real estate rather than higher dividends). sambandham82 (27 Aug 2026) points out NSDL trades cheaper (~42x vs ~63x) with similar growth.</w:t>
      </w:r>
    </w:p>
    <w:p>
      <w:pPr>
        <w:spacing w:after="120"/>
      </w:pPr>
      <w:r>
        <w:rPr>
          <w:b/>
          <w:bCs/>
          <w:sz w:val="20"/>
          <w:szCs w:val="20"/>
        </w:rPr>
        <w:t xml:space="preserve">High-conviction call from a top contributor: </w:t>
      </w:r>
      <w:r>
        <w:rPr>
          <w:sz w:val="20"/>
          <w:szCs w:val="20"/>
        </w:rPr>
        <w:t xml:space="preserve">No high-conviction 10x call. The active elevated voice (karanshah137) is a holder but openly cautious on valuation and regulatory fee risk. Thread framing is 'quality compounder for the very long term', not multi-bagger.</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2026-08-05 — karanshah137</w:t>
      </w:r>
      <w:r>
        <w:rPr>
          <w:i/>
          <w:iCs/>
          <w:color w:val="666666"/>
          <w:sz w:val="18"/>
          <w:szCs w:val="18"/>
        </w:rPr>
        <w:t xml:space="preserve"> (CDSL)</w:t>
      </w:r>
      <w:r>
        <w:rPr>
          <w:sz w:val="20"/>
          <w:szCs w:val="20"/>
        </w:rPr>
        <w:br/>
        <w:t xml:space="preserve">: 'KYC pricing is not a major hit as expected' (positive), but 'P/E is unsustainable at these levels with this growth' and KYC rates likely to fall further under unified KYC. Invested, but valuation-cautious - not a buy call.</w:t>
      </w:r>
    </w:p>
    <w:p>
      <w:pPr>
        <w:pStyle w:val="Heading1"/>
        <w:spacing w:after="120" w:before="280"/>
      </w:pPr>
      <w:r>
        <w:t xml:space="preserve">BSE Corporate Actions / Other Red Flags</w:t>
      </w:r>
    </w:p>
    <w:p>
      <w:pPr>
        <w:spacing w:after="120"/>
      </w:pPr>
      <w:r>
        <w:t xml:space="preserve">Regulated entity; recurring SEBI-driven fee reductions are the key structural risk (not a red-flag tier - it is the business model). Capital-allocation question over large office real-estate spend vs dividends. No SEBI enforcement action. NSDL listing (2025) a competitive/valuation event.</w:t>
      </w:r>
    </w:p>
    <w:p>
      <w:pPr>
        <w:pStyle w:val="Heading1"/>
        <w:spacing w:after="120" w:before="280"/>
      </w:pPr>
      <w:r>
        <w:t xml:space="preserve">Bull Case</w:t>
      </w:r>
    </w:p>
    <w:p>
      <w:pPr>
        <w:pStyle w:val="ListParagraph"/>
        <w:numPr>
          <w:ilvl w:val="0"/>
          <w:numId w:val="1"/>
        </w:numPr>
        <w:spacing w:after="60"/>
      </w:pPr>
      <w:r>
        <w:t xml:space="preserve">Regulated duopoly with ~80% account share, debt-free, 45%+ margins, ~32% ROCE - genuinely high quality</w:t>
      </w:r>
    </w:p>
    <w:p>
      <w:pPr>
        <w:pStyle w:val="ListParagraph"/>
        <w:numPr>
          <w:ilvl w:val="0"/>
          <w:numId w:val="1"/>
        </w:numPr>
        <w:spacing w:after="60"/>
      </w:pPr>
      <w:r>
        <w:t xml:space="preserve">Structural tailwind from rising retail participation, demat penetration and annuity issuer charges</w:t>
      </w:r>
    </w:p>
    <w:p>
      <w:pPr>
        <w:pStyle w:val="ListParagraph"/>
        <w:numPr>
          <w:ilvl w:val="0"/>
          <w:numId w:val="1"/>
        </w:numPr>
        <w:spacing w:after="60"/>
      </w:pPr>
      <w:r>
        <w:t xml:space="preserve">Optionality in data, insurance repository, e-NWR/warehouse receipts (CCRL), e-voting</w:t>
      </w:r>
    </w:p>
    <w:p>
      <w:pPr>
        <w:pStyle w:val="Heading1"/>
        <w:spacing w:after="120" w:before="280"/>
      </w:pPr>
      <w:r>
        <w:t xml:space="preserve">Bear Case / Key Risks</w:t>
      </w:r>
    </w:p>
    <w:p>
      <w:pPr>
        <w:pStyle w:val="ListParagraph"/>
        <w:numPr>
          <w:ilvl w:val="0"/>
          <w:numId w:val="1"/>
        </w:numPr>
        <w:spacing w:after="60"/>
      </w:pPr>
      <w:r>
        <w:t xml:space="preserve">Large-cap (~Rs 28,000 Cr) on ~63x earnings - a 10x in 2-3 years would need a ~Rs 2.8 lakh Cr valuation, not credible</w:t>
      </w:r>
    </w:p>
    <w:p>
      <w:pPr>
        <w:pStyle w:val="ListParagraph"/>
        <w:numPr>
          <w:ilvl w:val="0"/>
          <w:numId w:val="1"/>
        </w:numPr>
        <w:spacing w:after="60"/>
      </w:pPr>
      <w:r>
        <w:t xml:space="preserve">SEBI repeatedly cuts allowable charges; profit growth is deliberately capped by the regulator</w:t>
      </w:r>
    </w:p>
    <w:p>
      <w:pPr>
        <w:pStyle w:val="ListParagraph"/>
        <w:numPr>
          <w:ilvl w:val="0"/>
          <w:numId w:val="1"/>
        </w:numPr>
        <w:spacing w:after="60"/>
      </w:pPr>
      <w:r>
        <w:t xml:space="preserve">FY26 earnings declined YoY; growth is cyclical with market volumes</w:t>
      </w:r>
    </w:p>
    <w:p>
      <w:pPr>
        <w:pStyle w:val="ListParagraph"/>
        <w:numPr>
          <w:ilvl w:val="0"/>
          <w:numId w:val="1"/>
        </w:numPr>
        <w:spacing w:after="60"/>
      </w:pPr>
      <w:r>
        <w:t xml:space="preserve">NSDL listing removed the scarcity premium and offers a cheaper way to own the same theme</w:t>
      </w:r>
    </w:p>
    <w:p>
      <w:pPr>
        <w:pStyle w:val="Heading1"/>
        <w:spacing w:after="120" w:before="280"/>
      </w:pPr>
      <w:r>
        <w:t xml:space="preserve">Market-Cap Tier (informational — not a gate in this project)</w:t>
      </w:r>
    </w:p>
    <w:p>
      <w:pPr>
        <w:spacing w:after="120"/>
      </w:pPr>
      <w:r>
        <w:rPr>
          <w:b/>
          <w:bCs/>
        </w:rPr>
        <w:t xml:space="preserve">Large-cap (~Rs 28,100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high-quality regulated compounder but firmly 'neither' - too large, too richly valued, and too regulator-capped on pricing to deliver 10x in 2-3 years or 100x in 10</w:t>
      </w:r>
    </w:p>
    <w:p>
      <w:pPr>
        <w:pStyle w:val="ListParagraph"/>
        <w:numPr>
          <w:ilvl w:val="0"/>
          <w:numId w:val="1"/>
        </w:numPr>
        <w:spacing w:after="60"/>
      </w:pPr>
      <w:r>
        <w:t xml:space="preserve">Excellent business economics do not translate into thesis fit: at ~Rs 28,000 Cr and ~63x earnings, with regulator-imposed fee cuts and FY26 earnings down YoY, the required re-rating/growth for a 10x simply is not available</w:t>
      </w:r>
    </w:p>
    <w:p>
      <w:pPr>
        <w:pStyle w:val="ListParagraph"/>
        <w:numPr>
          <w:ilvl w:val="0"/>
          <w:numId w:val="1"/>
        </w:numPr>
        <w:spacing w:after="60"/>
      </w:pPr>
      <w:r>
        <w:t xml:space="preserve">No trusted-user high-conviction buy; the active elevated holder (karanshah137) himself calls the P/E unsustainable for the growth rate</w:t>
      </w:r>
    </w:p>
    <w:p>
      <w:pPr>
        <w:pStyle w:val="ListParagraph"/>
        <w:numPr>
          <w:ilvl w:val="0"/>
          <w:numId w:val="1"/>
        </w:numPr>
        <w:spacing w:after="60"/>
      </w:pPr>
      <w:r>
        <w:t xml:space="preserve">No red flag - recurring SEBI charge cuts are the business model, not a governance issue</w:t>
      </w:r>
    </w:p>
    <w:p>
      <w:pPr>
        <w:pStyle w:val="ListParagraph"/>
        <w:numPr>
          <w:ilvl w:val="0"/>
          <w:numId w:val="1"/>
        </w:numPr>
        <w:spacing w:after="60"/>
      </w:pPr>
      <w:r>
        <w:t xml:space="preserve">No 30-day revisit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2026-08-27T09:51:19.062Z</dcterms:created>
  <dcterms:modified xsi:type="dcterms:W3CDTF">2026-08-27T09:51:19.063Z</dcterms:modified>
</cp:coreProperties>
</file>

<file path=docProps/custom.xml><?xml version="1.0" encoding="utf-8"?>
<Properties xmlns="http://schemas.openxmlformats.org/officeDocument/2006/custom-properties" xmlns:vt="http://schemas.openxmlformats.org/officeDocument/2006/docPropsVTypes"/>
</file>