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Chennai Petroleum Corporation Ltd (CPCL)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IOCL-controlled single-refinery PSU (Manali, ~10.5 MMTPA) on a GRM up-cycle with debt sharply cut — but a commodity price-taker, government margin caps, a halted expansion and a stock already up ~100% in a year; reached the screen as a snippet mention, not a call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Standalone refiner at Manali, Chennai (~10.5 MMTPA; the 1 MMTPA old Nagapattinam unit has been demolished). ~92% of output (LPG, MS, HSD, ATF, naphtha, bitumen, lube base) is marketed by parent IOCL under offtake; ~8% speciality/strategic products (paraffin wax, MTO, hexane, LAB feedstock, pet-coke, plus defence fuels) sold directly. Profit is driven by Gross Refining Margin (GRM) vs the Singapore benchmark and by crude-inventory timing.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21,000 Cr (stock ~+100% in 1 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(Dec-25) PBT / PAT</w:t>
            </w:r>
          </w:p>
        </w:tc>
        <w:tc>
          <w:tcPr>
            <w:tcW w:type="dxa" w:w="5800"/>
          </w:tcPr>
          <w:p>
            <w:r>
              <w:t xml:space="preserve">Rs 4,122 Cr / Rs 3,062 Cr; record throughput 11.71 MMTPA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76,200 Cr (about -10%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~33% (cyclically elevated)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 cut from ~Rs 8,500 Cr to a low level over ~3-4 yrs via internal accruals; promoter (IOCL) ~67%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policy</w:t>
            </w:r>
          </w:p>
        </w:tc>
        <w:tc>
          <w:tcPr>
            <w:tcW w:type="dxa" w:w="5800"/>
          </w:tcPr>
          <w:p>
            <w:r>
              <w:t xml:space="preserve">SAED/windfall tax on diesel &amp; ATF exports; refining margins effectively capped at ~USD 15/bbl (excess treated as discount to OMCs)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Expansion</w:t>
            </w:r>
          </w:p>
        </w:tc>
        <w:tc>
          <w:tcPr>
            <w:tcW w:type="dxa" w:w="5800"/>
          </w:tcPr>
          <w:p>
            <w:r>
              <w:t xml:space="preserve">Cauvery Basin Refinery (CBR) expansion halted — GoI prioritising BPCL Ramayyapatnam; old Nagapattinam refinery already demolished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a record year on high throughput and a favourable GRM/inventory window, and the debt reduction is a genuine achievement. But CPCL is a commodity refiner and a price-taker: ~92% of volume goes to IOCL at negotiated prices, the government has repeatedly intervened on refiner margins (windfall tax, SAED, a ~USD 15/bbl margin cap that transfers excess to OMCs), the CBR growth project is halted, and long-run demand faces the EV transition. After a ~100% run in a year the cheapness that first attracted screeners (3-4x P/E) is largely gone.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Thin ValuePickr thread (~30 posts, stale since Apr 2026) dominated by one openly biased retail bull; another poster explicitly flags the bias and argues for staying away from refiners for a few quarters. No trusted-user calls.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Tier 4.8 trusted-x-watch. Per the x_watch_note: '@Finstor85 self-QT of a May-2026 post; CPCL named as a disclosed contra oil bet since 2021, ops grown well — reaffirmation, not a fresh call.' A snippet mention with no stated fresh view,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debt reduction via internal accruals; strong FY26 cash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Complex refinery, high Nelson complexity; some move toward higher-margin speciality/value-added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earnings if the GRM up-cycle persists; high dividend payout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price-taker: ~92% sold to parent IOCL; GRM and inventory timing drive the P&amp;L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 margin cap (~USD 15/bbl) + windfall/SAED regime structurally limits upside in strong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avenue (CBR expansion) halted; single-site concentration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 / demand-transition overhang on transport fuels; stock already ~+100% in a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Reached the screen as a snippet reaffirmation on X, not a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21,000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no · valuation: weak  (score 0.5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no (refining cycle + policy margin cap + EV headwind); tam no (single-site PSU, CBR expansion halted); moat no (price-taker, ~92% to IOCL); valuation weak (re-rated after ~100% move, forward earnings capped). Score 0.5 -&gt;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Record-cycle PSU refiner with a much-repaired balance sheet but no moat, a government margin cap and a halted expansion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4.8 trusted-x-watch. x_watch_note quoted verbatim: '@Finstor85 self-QT of May-2026 post; cpcl named as a disclosed contra oil bet since 2021, ops grown well — reaffirmation, not a fresh call.' Stated plainly: this was a snippet mention, not a call; per the tier-4.8 rule a 'neither' result simply exits with a last_analyzed_date.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3.05 resolved topic_id 114496 (chennai-petroleum-corporation-ltd-chennpetro-cpcl, category 18) — an unambiguous exact-name match to the primary CPCL thread; recorded.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0.5 (tailwind no — refining cycle, not structural, GRM capped by policy, EV headwind; tam no — single-site PSU, CBR expansion halted; moat no — commodity refiner selling ~92% to IOCL at negotiated prices; valuation weak — was ~3-4x P/E, now re-rated after ~100% move, forward earnings pressured by the margin cap). No written exception qualifies -&gt; thesis_fit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windfall/SAED/margin-cap regime is a recurring government policy tool, not a one-off speed-breaker; treated as a normal structural constraint on the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cyclical commodity PSU with real debt reduction but no durable earnings power, a halted growth project and policy caps; no red flag.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2026-09-04T03:01:05.797Z</dcterms:created>
  <dcterms:modified xsi:type="dcterms:W3CDTF">2026-09-04T03:01:05.804Z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