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Concord Biotech Ltd</w:t>
      </w:r>
    </w:p>
    <w:p>
      <w:pPr>
        <w:pBdr>
          <w:bottom w:val="single" w:color="CCCCCC" w:sz="6" w:space="8"/>
        </w:pBdr>
        <w:spacing w:after="200"/>
      </w:pPr>
      <w:r>
        <w:rPr>
          <w:i/>
          <w:iCs/>
          <w:color w:val="666666"/>
          <w:sz w:val="22"/>
          <w:szCs w:val="22"/>
        </w:rPr>
        <w:t xml:space="preserve">High-quality fermentation-API niche leader (immunosuppressants, oncology, anti-infectives) - debt-free, ~20% ROE - but a ~Rs 16,000 Cr large-cap with only ~11% five-year sales growth, declining recent quarters and intensifying competition; does not fit a 10x thesis</w:t>
      </w:r>
    </w:p>
    <w:p>
      <w:pPr>
        <w:pStyle w:val="Heading1"/>
        <w:spacing w:after="120" w:before="280"/>
      </w:pPr>
      <w:r>
        <w:t xml:space="preserve">Business Overview</w:t>
      </w:r>
    </w:p>
    <w:p>
      <w:pPr>
        <w:spacing w:after="120"/>
      </w:pPr>
      <w:r>
        <w:t xml:space="preserve">Concord Biotech makes fermentation-based APIs, a technically hard niche that has historically been a 'graveyard' for Indian players versus Chinese scale. It is a global top-2/3 in several immunosuppressant and oncology molecules, supplies quality-conscious markets including Japan, and is forward-integrating (new Valthera injectable/finished-dosage facility). APIs are ~80% of revenue; a nascent CDMO effort is being built.</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16,100 Cr (large/mid-cap)</w:t>
            </w:r>
          </w:p>
        </w:tc>
      </w:tr>
      <w:tr>
        <w:tc>
          <w:tcPr>
            <w:tcW w:type="dxa" w:w="3200"/>
            <w:shd w:fill="F2F2F2" w:val="clear"/>
          </w:tcPr>
          <w:p>
            <w:r>
              <w:rPr>
                <w:b/>
                <w:bCs/>
              </w:rPr>
              <w:t xml:space="preserve">ROCE / ROE</w:t>
            </w:r>
          </w:p>
        </w:tc>
        <w:tc>
          <w:tcPr>
            <w:tcW w:type="dxa" w:w="5800"/>
          </w:tcPr>
          <w:p>
            <w:r>
              <w:t xml:space="preserve">ROIC ~18% / ROE ~20-21%</w:t>
            </w:r>
          </w:p>
        </w:tc>
      </w:tr>
      <w:tr>
        <w:tc>
          <w:tcPr>
            <w:tcW w:type="dxa" w:w="3200"/>
            <w:shd w:fill="F2F2F2" w:val="clear"/>
          </w:tcPr>
          <w:p>
            <w:r>
              <w:rPr>
                <w:b/>
                <w:bCs/>
              </w:rPr>
              <w:t xml:space="preserve">Revenue growth</w:t>
            </w:r>
          </w:p>
        </w:tc>
        <w:tc>
          <w:tcPr>
            <w:tcW w:type="dxa" w:w="5800"/>
          </w:tcPr>
          <w:p>
            <w:r>
              <w:t xml:space="preserve">Revenue ~Rs 1,100 Cr; ~18% recent-year growth but only ~11% 5-yr sales CAGR; H1 FY26 revenue -14% YoY, PAT -31% YoY</w:t>
            </w:r>
          </w:p>
        </w:tc>
      </w:tr>
      <w:tr>
        <w:tc>
          <w:tcPr>
            <w:tcW w:type="dxa" w:w="3200"/>
            <w:shd w:fill="F2F2F2" w:val="clear"/>
          </w:tcPr>
          <w:p>
            <w:r>
              <w:rPr>
                <w:b/>
                <w:bCs/>
              </w:rPr>
              <w:t xml:space="preserve">Margins</w:t>
            </w:r>
          </w:p>
        </w:tc>
        <w:tc>
          <w:tcPr>
            <w:tcW w:type="dxa" w:w="5800"/>
          </w:tcPr>
          <w:p>
            <w:r>
              <w:t xml:space="preserve">Reported EBITDA margin ~36%, ~41% ex-new-facility costs; gross margin +480 bps YoY</w:t>
            </w:r>
          </w:p>
        </w:tc>
      </w:tr>
      <w:tr>
        <w:tc>
          <w:tcPr>
            <w:tcW w:type="dxa" w:w="3200"/>
            <w:shd w:fill="F2F2F2" w:val="clear"/>
          </w:tcPr>
          <w:p>
            <w:r>
              <w:rPr>
                <w:b/>
                <w:bCs/>
              </w:rPr>
              <w:t xml:space="preserve">Cash flow / debt</w:t>
            </w:r>
          </w:p>
        </w:tc>
        <w:tc>
          <w:tcPr>
            <w:tcW w:type="dxa" w:w="5800"/>
          </w:tcPr>
          <w:p>
            <w:r>
              <w:t xml:space="preserve">Essentially debt-free</w:t>
            </w:r>
          </w:p>
        </w:tc>
      </w:tr>
      <w:tr>
        <w:tc>
          <w:tcPr>
            <w:tcW w:type="dxa" w:w="3200"/>
            <w:shd w:fill="F2F2F2" w:val="clear"/>
          </w:tcPr>
          <w:p>
            <w:r>
              <w:rPr>
                <w:b/>
                <w:bCs/>
              </w:rPr>
              <w:t xml:space="preserve">Valuation</w:t>
            </w:r>
          </w:p>
        </w:tc>
        <w:tc>
          <w:tcPr>
            <w:tcW w:type="dxa" w:w="5800"/>
          </w:tcPr>
          <w:p>
            <w:r>
              <w:t xml:space="preserve">~8x book, ~55-60x earnings; 52-week range Rs 987 - 2,060</w:t>
            </w:r>
          </w:p>
        </w:tc>
      </w:tr>
    </w:tbl>
    <w:p>
      <w:pPr>
        <w:spacing w:after="100"/>
      </w:pPr>
    </w:p>
    <w:p>
      <w:pPr>
        <w:spacing w:after="120"/>
      </w:pPr>
      <w:r>
        <w:t xml:space="preserve">The moat (fermentation know-how, regulatory compliance, Japan approvals, on-time-in-full reliability vs Chinese peers) is genuine and the balance sheet is clean, but growth is modest for the valuation: ~11% five-year sales CAGR, and H1 FY26 saw revenue down ~14% and PAT down ~31% YoY. Management attributes the decline to timing (EU 'Written Confirmation' renewal delay - resolved Nov 2025; US customers deferring orders on tariff uncertainty - cleared Sep 2025; a Middle East tender on hold) plus commissioning costs of the Valthera facility, and gross margins did improve 480 bps. Even taking the recovery at face value, this is a ~Rs 16,000 Cr company compounding low-teens with rising competition.</w:t>
      </w:r>
    </w:p>
    <w:p>
      <w:pPr>
        <w:pStyle w:val="Heading1"/>
        <w:spacing w:after="120" w:before="280"/>
      </w:pPr>
      <w:r>
        <w:t xml:space="preserve">Technical Read (Weekly / Monthly MACD + Bollinger Bands, or RSI/CCI/Williams %R proxy)</w:t>
      </w:r>
    </w:p>
    <w:p>
      <w:pPr>
        <w:spacing w:after="120"/>
      </w:pPr>
      <w:r>
        <w:t xml:space="preserve">Not independently pulled. Roughly halved from its 52-week high (Rs 2,060 to a Rs 987 low) before a partial recovery - the de-rating tracks the weak H1 FY26 prints.</w:t>
      </w:r>
    </w:p>
    <w:p>
      <w:pPr>
        <w:pStyle w:val="Heading1"/>
        <w:spacing w:after="120" w:before="280"/>
      </w:pPr>
      <w:r>
        <w:t xml:space="preserve">ValuePickr Community Signal</w:t>
      </w:r>
    </w:p>
    <w:p>
      <w:pPr>
        <w:spacing w:after="120"/>
      </w:pPr>
      <w:r>
        <w:t xml:space="preserve">Read all 14 posts of a fairly analytical thread (Nov 2023 to Aug 2026). kinvestor04 and Nikunj0810 wrote strong primers on the fermentation moat and why the space is hard. astha.arora23 (elevated) frames Concord as 'the fermentation equivalent of US generics rather than a CDMO' - a lumpy business - and after Q1 FY26 called results 'flat'; her guidance is to track gross margin and new DMF/approval filings and watch forward integration. adityashawson summarised the H1 FY26 decline and the timing explanations. subodhs and Nihar_Pundalik raise competition: Gujarat Themis Biosyn's ~Rs 1,300 Cr acquisition of MicroBiopharm Japan puts a domestic peer directly into Concord's exact therapeutic lanes with Japanese fermentation capacity; Fishfa Biogenics, Synbiotics and Lupin are also cited as catching up.</w:t>
      </w:r>
    </w:p>
    <w:p>
      <w:pPr>
        <w:spacing w:after="120"/>
      </w:pPr>
      <w:r>
        <w:rPr>
          <w:b/>
          <w:bCs/>
          <w:sz w:val="20"/>
          <w:szCs w:val="20"/>
        </w:rPr>
        <w:t xml:space="preserve">High-conviction call from a top contributor: </w:t>
      </w:r>
      <w:r>
        <w:rPr>
          <w:sz w:val="20"/>
          <w:szCs w:val="20"/>
        </w:rPr>
        <w:t xml:space="preserve">No high-conviction call. The most engaged elevated voice (astha.arora23) is analytical and neutral-to-cautious ('lumpy', 'flat'), focused on tracking metrics rather than recommending. Competitive intensity is a rising theme.</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2025-08-08 — astha.arora23</w:t>
      </w:r>
      <w:r>
        <w:rPr>
          <w:i/>
          <w:iCs/>
          <w:color w:val="666666"/>
          <w:sz w:val="18"/>
          <w:szCs w:val="18"/>
        </w:rPr>
        <w:t xml:space="preserve"> (Concord Biotech)</w:t>
      </w:r>
      <w:r>
        <w:rPr>
          <w:sz w:val="20"/>
          <w:szCs w:val="20"/>
        </w:rPr>
        <w:br/>
        <w:t xml:space="preserve">: Frames Concord as a lumpy 'fermentation equivalent of US generics, not a CDMO'; called Q1 FY26 results 'flat'; advises tracking gross margin, new DMF/approval filings and forward integration. Analytical/neutral - not a buy call.</w:t>
      </w:r>
    </w:p>
    <w:p>
      <w:pPr>
        <w:pStyle w:val="Heading1"/>
        <w:spacing w:after="120" w:before="280"/>
      </w:pPr>
      <w:r>
        <w:t xml:space="preserve">BSE Corporate Actions / Other Red Flags</w:t>
      </w:r>
    </w:p>
    <w:p>
      <w:pPr>
        <w:spacing w:after="120"/>
      </w:pPr>
      <w:r>
        <w:t xml:space="preserve">Was on the parallel 108-stock project's EXCLUDED (large-cap) list. New Valthera injectable facility commissioning costs are depressing near-term EBITDA. EU WC renewal delay and US tariff-related order deferrals were disclosed as the cause of the H1 FY26 miss. No SEBI action; no governance red flag. Gujarat Themis Biosyn's MBJ acquisition is a structural competitive development.</w:t>
      </w:r>
    </w:p>
    <w:p>
      <w:pPr>
        <w:pStyle w:val="Heading1"/>
        <w:spacing w:after="120" w:before="280"/>
      </w:pPr>
      <w:r>
        <w:t xml:space="preserve">Bull Case</w:t>
      </w:r>
    </w:p>
    <w:p>
      <w:pPr>
        <w:pStyle w:val="ListParagraph"/>
        <w:numPr>
          <w:ilvl w:val="0"/>
          <w:numId w:val="1"/>
        </w:numPr>
        <w:spacing w:after="60"/>
      </w:pPr>
      <w:r>
        <w:t xml:space="preserve">Genuine, hard-to-build moat in fermentation APIs; global top-2/3 in key immunosuppressant/oncology molecules; Japan-approved</w:t>
      </w:r>
    </w:p>
    <w:p>
      <w:pPr>
        <w:pStyle w:val="ListParagraph"/>
        <w:numPr>
          <w:ilvl w:val="0"/>
          <w:numId w:val="1"/>
        </w:numPr>
        <w:spacing w:after="60"/>
      </w:pPr>
      <w:r>
        <w:t xml:space="preserve">Debt-free, ~20% ROE, ~36-41% EBITDA margins; gross margins improving</w:t>
      </w:r>
    </w:p>
    <w:p>
      <w:pPr>
        <w:pStyle w:val="ListParagraph"/>
        <w:numPr>
          <w:ilvl w:val="0"/>
          <w:numId w:val="1"/>
        </w:numPr>
        <w:spacing w:after="60"/>
      </w:pPr>
      <w:r>
        <w:t xml:space="preserve">Forward integration into finished dosages (Valthera) is a long-term margin/optionality lever</w:t>
      </w:r>
    </w:p>
    <w:p>
      <w:pPr>
        <w:pStyle w:val="ListParagraph"/>
        <w:numPr>
          <w:ilvl w:val="0"/>
          <w:numId w:val="1"/>
        </w:numPr>
        <w:spacing w:after="60"/>
      </w:pPr>
      <w:r>
        <w:t xml:space="preserve">H1 FY26 weakness looks largely timing-driven (EU/US/Middle East), with resolutions in hand</w:t>
      </w:r>
    </w:p>
    <w:p>
      <w:pPr>
        <w:pStyle w:val="Heading1"/>
        <w:spacing w:after="120" w:before="280"/>
      </w:pPr>
      <w:r>
        <w:t xml:space="preserve">Bear Case / Key Risks</w:t>
      </w:r>
    </w:p>
    <w:p>
      <w:pPr>
        <w:pStyle w:val="ListParagraph"/>
        <w:numPr>
          <w:ilvl w:val="0"/>
          <w:numId w:val="1"/>
        </w:numPr>
        <w:spacing w:after="60"/>
      </w:pPr>
      <w:r>
        <w:t xml:space="preserve">Large-cap (~Rs 16,000 Cr) on ~8x book / ~55-60x earnings with only ~11% five-year sales growth - no room for a 10x</w:t>
      </w:r>
    </w:p>
    <w:p>
      <w:pPr>
        <w:pStyle w:val="ListParagraph"/>
        <w:numPr>
          <w:ilvl w:val="0"/>
          <w:numId w:val="1"/>
        </w:numPr>
        <w:spacing w:after="60"/>
      </w:pPr>
      <w:r>
        <w:t xml:space="preserve">Recent quarters are down sharply YoY (H1 FY26 revenue -14%, PAT -31%)</w:t>
      </w:r>
    </w:p>
    <w:p>
      <w:pPr>
        <w:pStyle w:val="ListParagraph"/>
        <w:numPr>
          <w:ilvl w:val="0"/>
          <w:numId w:val="1"/>
        </w:numPr>
        <w:spacing w:after="60"/>
      </w:pPr>
      <w:r>
        <w:t xml:space="preserve">Competition intensifying - Gujarat Themis Biosyn buying MicroBiopharm Japan puts a peer directly into Concord's lanes with Japanese capacity; Fishfa, Synbiotics, Lupin cited</w:t>
      </w:r>
    </w:p>
    <w:p>
      <w:pPr>
        <w:pStyle w:val="ListParagraph"/>
        <w:numPr>
          <w:ilvl w:val="0"/>
          <w:numId w:val="1"/>
        </w:numPr>
        <w:spacing w:after="60"/>
      </w:pPr>
      <w:r>
        <w:t xml:space="preserve">Lumpy, order-timing-sensitive revenue</w:t>
      </w:r>
    </w:p>
    <w:p>
      <w:pPr>
        <w:pStyle w:val="Heading1"/>
        <w:spacing w:after="120" w:before="280"/>
      </w:pPr>
      <w:r>
        <w:t xml:space="preserve">Market-Cap Tier (informational — not a gate in this project)</w:t>
      </w:r>
    </w:p>
    <w:p>
      <w:pPr>
        <w:spacing w:after="120"/>
      </w:pPr>
      <w:r>
        <w:rPr>
          <w:b/>
          <w:bCs/>
        </w:rPr>
        <w:t xml:space="preserve">Large/Mid-cap (~Rs 16,100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A quality niche business but 'neither' - too large and too richly valued for its ~11% growth rate, with declining recent quarters and a new direct competitor entering its Japanese stronghold</w:t>
      </w:r>
    </w:p>
    <w:p>
      <w:pPr>
        <w:pStyle w:val="ListParagraph"/>
        <w:numPr>
          <w:ilvl w:val="0"/>
          <w:numId w:val="1"/>
        </w:numPr>
        <w:spacing w:after="60"/>
      </w:pPr>
      <w:r>
        <w:t xml:space="preserve">At ~Rs 16,000 Cr, ~8x book and low-teens structural growth, neither a 10x-in-2-3-years nor a 100x-in-10 outcome is credible even if the H1 FY26 dip fully reverses</w:t>
      </w:r>
    </w:p>
    <w:p>
      <w:pPr>
        <w:pStyle w:val="ListParagraph"/>
        <w:numPr>
          <w:ilvl w:val="0"/>
          <w:numId w:val="1"/>
        </w:numPr>
        <w:spacing w:after="60"/>
      </w:pPr>
      <w:r>
        <w:t xml:space="preserve">Recent-quarter trend is negative (revenue and PAT down double digits YoY); the timing explanations are plausible but the base rate of growth is modest</w:t>
      </w:r>
    </w:p>
    <w:p>
      <w:pPr>
        <w:pStyle w:val="ListParagraph"/>
        <w:numPr>
          <w:ilvl w:val="0"/>
          <w:numId w:val="1"/>
        </w:numPr>
        <w:spacing w:after="60"/>
      </w:pPr>
      <w:r>
        <w:t xml:space="preserve">Rising competition (Gujarat Themis Biosyn / MicroBiopharm Japan) directly targets Concord's differentiation</w:t>
      </w:r>
    </w:p>
    <w:p>
      <w:pPr>
        <w:pStyle w:val="ListParagraph"/>
        <w:numPr>
          <w:ilvl w:val="0"/>
          <w:numId w:val="1"/>
        </w:numPr>
        <w:spacing w:after="60"/>
      </w:pPr>
      <w:r>
        <w:t xml:space="preserve">No red flag; no 30-day revisit</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2026-08-27T09:51:19.375Z</dcterms:created>
  <dcterms:modified xsi:type="dcterms:W3CDTF">2026-08-27T09:51:19.375Z</dcterms:modified>
</cp:coreProperties>
</file>

<file path=docProps/custom.xml><?xml version="1.0" encoding="utf-8"?>
<Properties xmlns="http://schemas.openxmlformats.org/officeDocument/2006/custom-properties" xmlns:vt="http://schemas.openxmlformats.org/officeDocument/2006/docPropsVTypes"/>
</file>