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Cosmic CRF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BSE-SME cold-rolled-form / railway-wagon-component maker with an integrated-wagon roll-up ambition - the Supreme Court has now vacated the NCLAT Section 29A ineligibility finding, materially lifting the biggest overhang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Manufacturer of cold-rolled formed sections and railway wagon components for Indian Railways and PSUs, pursuing an 'integrated wagon manufacturer' roll-up (Amzen bid); BSE-SME listed.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795 Cr (micro/small-cap, BSE-SME)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</w:t>
            </w:r>
          </w:p>
        </w:tc>
        <w:tc>
          <w:tcPr>
            <w:tcW w:type="dxa" w:w="5800"/>
          </w:tcPr>
          <w:p>
            <w:r>
              <w:t xml:space="preserve">~133,600 MTPA; ~90% volume growth in FY26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H2 FY26 revenue</w:t>
            </w:r>
          </w:p>
        </w:tc>
        <w:tc>
          <w:tcPr>
            <w:tcW w:type="dxa" w:w="5800"/>
          </w:tcPr>
          <w:p>
            <w:r>
              <w:t xml:space="preserve">~Rs 412 Cr, +~78%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H2 FY26 PAT</w:t>
            </w:r>
          </w:p>
        </w:tc>
        <w:tc>
          <w:tcPr>
            <w:tcW w:type="dxa" w:w="5800"/>
          </w:tcPr>
          <w:p>
            <w:r>
              <w:t xml:space="preserve">~Rs 26 Cr, ~2.4x YoY; OPM ~10% (flat)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Legal</w:t>
            </w:r>
          </w:p>
        </w:tc>
        <w:tc>
          <w:tcPr>
            <w:tcW w:type="dxa" w:w="5800"/>
          </w:tcPr>
          <w:p>
            <w:r>
              <w:t xml:space="preserve">Supreme Court (2026 INSC 608) allowed Cosmic's appeals, upheld Section 29A eligibility, set aside NCLAT orders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FY26 was a strong operating year - ~90% volume growth, H2 revenue +~78% and PAT ~2.4x - though margins stayed thin (~10% OPM). The decisive change since the prior read is legal: the Supreme Court has allowed Cosmic's appeals and held it was not disqualified under Section 29A(c)/(j), setting aside the NCLAT ineligibility orders. That removes the single largest bear point. Two items still warrant monitoring: whether FY26 operating/free cash flow turned positive (FY25 was negative despite reported profit), and the status of the third-party forgery allegations against the Cosmic-linked Raft Cosmic EV JV.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railway capex upcycle - wagons and rolling-stock components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cold-rolled formed sections + wagon components supplier to Indian Railways/PSUs, moving toward integrated wagon manufacturing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wagon build slots / integrated wagon 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Titagarh Rail Systems, Jupiter Wagons, Texmaco Rail, Oriental Rail Infrastructure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Railway wagon demand is in an upcycle and Cosmic is adding capacity into it; the integrated-wagon step-up is the swing factor, but it competes with far larger established wagon builders.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new forum activity since the prior read (thread stable, highest #84). The Supreme Court outcome is confirmed via public sources / the Q4 concall ('legal victory'), not via new thread posts.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Prior in-thread presence of Manik_Gupta (elevated) was limited to legal-status updates and risk flags; no trusted conviction call, no floor active.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Supreme Court has vacated the NCLAT Section 29A ineligibility finding - the biggest legal overhang is lifted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FY26 operating momentum (~90% volume growth, H2 PAT ~2.4x) into a railway-capex upcycle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Rs 795 Cr base with integrated-wagon-manufacturer optionality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Thin ~10% OPM / ~6-7% PAT margins; FY25 had negative operating and free cash flow despite reported profit - FY26 cash quality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Third-party forgery allegations against the Cosmic-linked Raft Cosmic EV JV - status unresolved in what I reviewed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SME-scale disclosure quality historically poor (delayed announcements, 'unconvincing' concall answers)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Roll-up execution (Amzen / integrated wagon plant) still unproven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Micro/Small-cap (~Rs 795 Cr, BSE-SME)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Re-verification: the Supreme Court has cleared the Section 29A ineligibility finding and FY26 growth is strong - conviction raised to Low-Medium and the HIGH CAUTION tier removed, with cash-flow quality and the EV-JV allegations still to monitor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Re-verification stock (Sovrenn lead). The H2 FY26 growth datapoint is verified, and separately the Supreme Court has set aside the NCLAT Section 29A orders and upheld Cosmic's eligibility - the primary driver of the earlier HIGH CAUTION tier is gone.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With the apex-court cloud lifted, ~90% FY26 volume growth, a railway-capex upcycle and a small Rs 795 Cr base, conviction moves up one notch to Low-Medium; the red_flag_tier is cleared to null, with the Raft Cosmic EV-JV allegations and the historically weak cash flow named as the remaining watch items.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stays 10x-in-2-3-years, still substantially optionality-driven (integrated-wagon roll-up). No 30-day revisit (conviction below Medium-High). Re-check FY26 operating/free cash flow and the EV-JV allegation status.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2026-09-01T18:57:35.309Z</dcterms:created>
  <dcterms:modified xsi:type="dcterms:W3CDTF">2026-09-01T18:57:35.309Z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