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Cummins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~80% share of India's hyperscale data-centre genset market and an accelerating DC tailwind — but a ~Rs 1.4 lakh cr cap and a live BESS-substitution debate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Cummins India (Cummins Inc's largest Indian entity) makes diesel and natural-gas engines and power-generation systems across three units — Engine (60+ HP on/off-highway), Power Systems (700-4500 HP high-HP engines for DC/marine/rail/defence/mining and gensets) and Distribution (parts, service, aftermarket). It also now sells BESS (battery energy storage).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1,43,000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 / PBT</w:t>
            </w:r>
          </w:p>
        </w:tc>
        <w:tc>
          <w:tcPr>
            <w:tcW w:type="dxa" w:w="5800"/>
          </w:tcPr>
          <w:p>
            <w:r>
              <w:t xml:space="preserve">~Rs 11,950 Cr (+18% YoY) / ~Rs 3,104 Cr (+24%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3-yr ROE</w:t>
            </w:r>
          </w:p>
        </w:tc>
        <w:tc>
          <w:tcPr>
            <w:tcW w:type="dxa" w:w="5800"/>
          </w:tcPr>
          <w:p>
            <w:r>
              <w:t xml:space="preserve">~28.8%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CAGR (5 yr)</w:t>
            </w:r>
          </w:p>
        </w:tc>
        <w:tc>
          <w:tcPr>
            <w:tcW w:type="dxa" w:w="5800"/>
          </w:tcPr>
          <w:p>
            <w:r>
              <w:t xml:space="preserve">~30.8%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sales ~Rs 3,375 Cr, +18%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quality — ~29% ROE, ~31% 5-yr profit CAGR, debt-free, strong cash generation, and a powergen (PG) segment now growing ~50% YoY with data centres at ~40% of PG revenue. CPCB IV+ emission-norm transition is absorbed and has been mix/margin accretive. The offsetting debate, running for years on the thread, is structural substitution risk: battery energy storage systems (BESS) displacing diesel gensets, plus regulatory pressure against diesel gensets in metros. Cummins has hedged by launching its own BESS.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Behind-the-meter / on-site power for data centres (high-HP gensets, gas gensets, BESS)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incumbent (~80% share) at the DC-genset bottleneck node in India; also the natural first mover into DC-scale BESS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High-HP prime-power engine + genset integration capacity, and CPCB IV+ compliant supply — a scarce, hard-to-enter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Kirloskar Oil Engines, Caterpillar (global), Cummins Inc (parent), Powerica (Cummins OEM partner)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Cummins sits at the exact bottleneck (on-site power as grid connections lag). The medium-term question is whether BESS + gas + grid catch-up erode diesel-genset economics before the DC capex wave peaks.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color w:val="1E7A34"/>
          <w:sz w:val="20"/>
          <w:szCs w:val="20"/>
        </w:rPr>
        <w:t xml:space="preserve">Indian-name alignment with the Behind-the-meter / on-site DC power (gas gensets, fuel cells) tailwind is confirmed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Bloom Energy + Caterpillar + ERock — Behind-the-meter / on-site DC power (gas gensets, fuel cells)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data-centre gensets a fast-growing, named share of the powergen order book + customers preponing + lead-time (not price) the gating factor = pricing power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 FY27 concall: data centres = 40% of powergen revenue, up from 23% a year earlier; record powergen revenue; total revenue Rs 3,375 cr (+18% YoY); management: inquiry pipeline very strong, customers looking to prepone deliveries, and 'for data centers, lead times and supply reliability are more critical than price'; inquiries opening up for larger QSK78/QSK95 engines.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global signal (DC prime-power demand outrunning supply, buyers pre-buying, price a non-issue) is visible verbatim in Cummins India's own commentary, with DC share of powergen nearly doubling YoY.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charted; the stock has had multiple broker downgrades (e.g. Goldman 'sell') on the BESS thesis over 2024-25 even as margins rose.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~18 of 28 posts, 2022 to Apr 2026 (slow, high-quality thread). Core bull point (basumallick, 2023): Cummins has &gt;80% share of the fast-growing domestic DC genset market and is 'one of the only listed players' — G23 2500-2750 kVA range now made in India, executing full project solutions for MNC DC customers. Core bear point (recurring): BESS phasing out DG sets, regulatory push against diesel gensets, Goldman downgrade. Also noted: a 2023 voluntary retirement/separation program to cut operating cost, and green-hydrogen/electrolyser optionality that may or may not be routed through the listed entity.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basumallick (loves 6-7) is the anchor bull on the DC-genset dominance; 1957 (love 6) is the anchor voice on BESS substitution. Balanced, analytical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~80% share of India hyperscale DC gensets — the bottleneck supplier as AI data-centre buildout drives on-site 'behind-the-meter' power to bypass slow grid connections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PG segment +50% YoY, DC ~40% of PG revenue; CPCB IV+ transition done and margin-accretive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~29% ROE, ~31% 5-yr profit CAGR, debt-free, strong parent tech pipeline (gas, hydrogen, BESS)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proxy for Bloom Energy + Caterpillar behind-the-meter power demand, which is currently accelerating (CAT power-gen +72%, Bloom rev +165% YoY, DC orders booked to 2030)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1.4 lakh cr market cap — cannot deliver a 10x-in-2-3-yr or 100x-in-10-yr outcome; this is a quality large-cap, not a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BESS substitution is a genuine long-run threat to the diesel-genset franchise; regulators are pushing diesel gensets out of metros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Broker sentiment has been mixed-to-negative (Goldman 'sell') for over a year despite good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end-demand (industrial, construction) is macro/infra-cycle dependent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1,43,000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Bottleneck supplier to an accelerating DC-power boom, but far too large for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Global-proxy note: Cummins India proxies Bloom Energy + Caterpillar behind-the-meter DC power, a tailwind that is currently accelerating, and Cummins is genuinely exposed to the specific bottleneck (~80% India DC-genset share), not loosely themed.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inflection exception considered: the DC-genset demand shift is a real industry-structure change, but at ~Rs 1.4 lakh cr there is no path to a max-returns outcome,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BESS substitution is a structural (potentially impairing) long-run risk to the diesel franchise, partly hedged by Cummins' own BESS launch — a watch item, not a near-term thesis-breaker. Conviction Medium-High on quality, thesis_fit 'neither'.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2026-09-01T14:16:41.266Z</dcterms:created>
  <dcterms:modified xsi:type="dcterms:W3CDTF">2026-09-01T14:16:41.267Z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