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DHP India Ltd</w:t>
      </w:r>
    </w:p>
    <w:p>
      <w:pPr>
        <w:pBdr>
          <w:bottom w:val="single" w:color="CCCCCC" w:sz="6" w:space="8"/>
        </w:pBdr>
        <w:spacing w:after="200"/>
      </w:pPr>
      <w:r>
        <w:rPr>
          <w:i/>
          <w:iCs/>
          <w:color w:val="666666"/>
          <w:sz w:val="22"/>
          <w:szCs w:val="22"/>
        </w:rPr>
        <w:t xml:space="preserve">Tiny LPG-regulator manufacturer where the trusted holder himself has spent years pushing management for better communication — and recent quarters have turned genuinely weak</w:t>
      </w:r>
    </w:p>
    <w:p>
      <w:pPr>
        <w:pStyle w:val="Heading1"/>
        <w:spacing w:after="120" w:before="280"/>
      </w:pPr>
      <w:r>
        <w:t xml:space="preserve">Business Overview</w:t>
      </w:r>
    </w:p>
    <w:p>
      <w:pPr>
        <w:spacing w:after="120"/>
      </w:pPr>
      <w:r>
        <w:t xml:space="preserve">DHP India is a small, ISO-certified manufacturer of LPG regulators, accessories, and related brass items, debt-free with high promoter holding (~73.4%), including a related-party office-rent arrangement with a promoter-family real estate firm.</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166 Cr</w:t>
            </w:r>
          </w:p>
        </w:tc>
      </w:tr>
      <w:tr>
        <w:tc>
          <w:tcPr>
            <w:tcW w:type="dxa" w:w="3200"/>
            <w:shd w:fill="F2F2F2" w:val="clear"/>
          </w:tcPr>
          <w:p>
            <w:r>
              <w:rPr>
                <w:b/>
                <w:bCs/>
              </w:rPr>
              <w:t xml:space="preserve">ROCE</w:t>
            </w:r>
          </w:p>
        </w:tc>
        <w:tc>
          <w:tcPr>
            <w:tcW w:type="dxa" w:w="5800"/>
          </w:tcPr>
          <w:p>
            <w:r>
              <w:t xml:space="preserve">33.28%</w:t>
            </w:r>
          </w:p>
        </w:tc>
      </w:tr>
      <w:tr>
        <w:tc>
          <w:tcPr>
            <w:tcW w:type="dxa" w:w="3200"/>
            <w:shd w:fill="F2F2F2" w:val="clear"/>
          </w:tcPr>
          <w:p>
            <w:r>
              <w:rPr>
                <w:b/>
                <w:bCs/>
              </w:rPr>
              <w:t xml:space="preserve">ROE</w:t>
            </w:r>
          </w:p>
        </w:tc>
        <w:tc>
          <w:tcPr>
            <w:tcW w:type="dxa" w:w="5800"/>
          </w:tcPr>
          <w:p>
            <w:r>
              <w:t xml:space="preserve">27.95% (headline) / 5.77% (3-yr avg)</w:t>
            </w:r>
          </w:p>
        </w:tc>
      </w:tr>
      <w:tr>
        <w:tc>
          <w:tcPr>
            <w:tcW w:type="dxa" w:w="3200"/>
            <w:shd w:fill="F2F2F2" w:val="clear"/>
          </w:tcPr>
          <w:p>
            <w:r>
              <w:rPr>
                <w:b/>
                <w:bCs/>
              </w:rPr>
              <w:t xml:space="preserve">Revenue growth (5-yr)</w:t>
            </w:r>
          </w:p>
        </w:tc>
        <w:tc>
          <w:tcPr>
            <w:tcW w:type="dxa" w:w="5800"/>
          </w:tcPr>
          <w:p>
            <w:r>
              <w:t xml:space="preserve">0.80% (poor/stagnant)</w:t>
            </w:r>
          </w:p>
        </w:tc>
      </w:tr>
      <w:tr>
        <w:tc>
          <w:tcPr>
            <w:tcW w:type="dxa" w:w="3200"/>
            <w:shd w:fill="F2F2F2" w:val="clear"/>
          </w:tcPr>
          <w:p>
            <w:r>
              <w:rPr>
                <w:b/>
                <w:bCs/>
              </w:rPr>
              <w:t xml:space="preserve">Debt</w:t>
            </w:r>
          </w:p>
        </w:tc>
        <w:tc>
          <w:tcPr>
            <w:tcW w:type="dxa" w:w="5800"/>
          </w:tcPr>
          <w:p>
            <w:r>
              <w:t xml:space="preserve">Almost debt-free</w:t>
            </w:r>
          </w:p>
        </w:tc>
      </w:tr>
      <w:tr>
        <w:tc>
          <w:tcPr>
            <w:tcW w:type="dxa" w:w="3200"/>
            <w:shd w:fill="F2F2F2" w:val="clear"/>
          </w:tcPr>
          <w:p>
            <w:r>
              <w:rPr>
                <w:b/>
                <w:bCs/>
              </w:rPr>
              <w:t xml:space="preserve">52-week range</w:t>
            </w:r>
          </w:p>
        </w:tc>
        <w:tc>
          <w:tcPr>
            <w:tcW w:type="dxa" w:w="5800"/>
          </w:tcPr>
          <w:p>
            <w:r>
              <w:t xml:space="preserve">Rs 450 - Rs 735</w:t>
            </w:r>
          </w:p>
        </w:tc>
      </w:tr>
    </w:tbl>
    <w:p>
      <w:pPr>
        <w:spacing w:after="100"/>
      </w:pPr>
    </w:p>
    <w:p>
      <w:pPr>
        <w:spacing w:after="120"/>
      </w:pPr>
      <w:r>
        <w:t xml:space="preserve">Headline ROCE (33.28%) looks strong, but 3-year average ROE is low (5.77%) and 5-year sales growth is essentially flat (0.80%) — a business that has been treading water for years. More concerningly, the most recent quarters read from the thread show active deterioration: a net loss and a September quarter (normally the company's seasonally strongest) coming in as 'the complete opposite' of the usual pattern, per dineshssairam's own live commentary. Re-verified 2026-08-22: stagnant 5-year revenue growth confirmed; headline ROE/ROCE look strong but the 3-yr average ROE (5.77%) and near-zero top-line growth point to a business that has not compounded in years.</w:t>
      </w:r>
    </w:p>
    <w:p>
      <w:pPr>
        <w:pStyle w:val="Heading1"/>
        <w:spacing w:after="120" w:before="280"/>
      </w:pPr>
      <w:r>
        <w:t xml:space="preserve">Technical Read (Weekly / Monthly MACD + Bollinger Bands, or RSI/CCI/Williams %R proxy)</w:t>
      </w:r>
    </w:p>
    <w:p>
      <w:pPr>
        <w:spacing w:after="120"/>
      </w:pPr>
      <w:r>
        <w:t xml:space="preserve">Not pulled this pass — no browser escalation triggered.</w:t>
      </w:r>
    </w:p>
    <w:p>
      <w:pPr>
        <w:pStyle w:val="Heading1"/>
        <w:spacing w:after="120" w:before="280"/>
      </w:pPr>
      <w:r>
        <w:t xml:space="preserve">ValuePickr Community Signal</w:t>
      </w:r>
    </w:p>
    <w:p>
      <w:pPr>
        <w:spacing w:after="120"/>
      </w:pPr>
      <w:r>
        <w:t xml:space="preserve">Read 100 of 254+ posts (2 batches). This thread is dominated by two voices: Lakshmi_Narasimhan_B (very active, high engagement, not a trusted-list member) providing detailed ongoing coverage, and dineshssairam (trusted) engaging persistently but critically over a long period — questioning capital allocation (mutual fund investments via broker instead of cheaper direct plans), flagging a related-party rent payment to a promoter-owned real estate firm as 'definitely a red flag' though 'too small to matter,' and repeatedly pressing for better shareholder communication.</w:t>
      </w:r>
    </w:p>
    <w:p>
      <w:pPr>
        <w:spacing w:after="120"/>
      </w:pPr>
      <w:r>
        <w:rPr>
          <w:b/>
          <w:bCs/>
          <w:sz w:val="20"/>
          <w:szCs w:val="20"/>
        </w:rPr>
        <w:t xml:space="preserve">High-conviction call from a top contributor: </w:t>
      </w:r>
      <w:r>
        <w:rPr>
          <w:sz w:val="20"/>
          <w:szCs w:val="20"/>
        </w:rPr>
        <w:t xml:space="preserve">dineshssairam (trusted, the source of this stock's original portfolio-backfill queueing) is NOT a straightforwardly bullish presence in this thread — he is a long-term but demanding, critical holder. His most recent posts read here are explicitly negative on results: 'Another quarter of terrible results. Net loss' and 'I'm disappointed once again with the total lack of communication around why the business is facing this difficulty.' Management's only response (via Rupee_Millionaire's direct conversation, post #248) was a vague 'revenue drop is one-off, should improve going forward' with no specifics and no commitment to concalls.</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recent (thread posts #237-246) — dineshssairam</w:t>
      </w:r>
      <w:r>
        <w:rPr>
          <w:i/>
          <w:iCs/>
          <w:color w:val="666666"/>
          <w:sz w:val="18"/>
          <w:szCs w:val="18"/>
        </w:rPr>
        <w:t xml:space="preserve"> (DHP India Ltd company thread + Dinesh Sairam's Portfolio (backfill queueing source))</w:t>
      </w:r>
      <w:r>
        <w:rPr>
          <w:sz w:val="20"/>
          <w:szCs w:val="20"/>
        </w:rPr>
        <w:br/>
        <w:t xml:space="preserve">: Original portfolio mention (2021) named DHP India as a core ex-cash holding and, separately, 'the only thing I can confidently say I'd buy more of right away' (an older, more bullish-era quote). His most recent in-thread posts, however, show active disappointment with a string of weak quarters and poor management communication — the queueing signal is stale relative to his current tone.</w:t>
      </w:r>
    </w:p>
    <w:p>
      <w:pPr>
        <w:pStyle w:val="Heading1"/>
        <w:spacing w:after="120" w:before="280"/>
      </w:pPr>
      <w:r>
        <w:t xml:space="preserve">BSE Corporate Actions / Other Red Flags</w:t>
      </w:r>
    </w:p>
    <w:p>
      <w:pPr>
        <w:spacing w:after="120"/>
      </w:pPr>
      <w:r>
        <w:t xml:space="preserve">A related-party transaction (office rent paid to Dabriwala Constructions, a promoter-family firm and DHP India's largest promoter shareholder at 11.90%) was flagged by dineshssairam himself as 'definitely a red flag' but explicitly assessed by him as immaterial in size. No SEBI/regulatory action found.</w:t>
      </w:r>
    </w:p>
    <w:p>
      <w:pPr>
        <w:pStyle w:val="Heading1"/>
        <w:spacing w:after="120" w:before="280"/>
      </w:pPr>
      <w:r>
        <w:t xml:space="preserve">Bull Case</w:t>
      </w:r>
    </w:p>
    <w:p>
      <w:pPr>
        <w:pStyle w:val="ListParagraph"/>
        <w:numPr>
          <w:ilvl w:val="0"/>
          <w:numId w:val="1"/>
        </w:numPr>
        <w:spacing w:after="60"/>
      </w:pPr>
      <w:r>
        <w:t xml:space="preserve">Tiny market cap (Rs 166 Cr) means 10x is at least mathematically possible if a genuine turnaround materializes</w:t>
      </w:r>
    </w:p>
    <w:p>
      <w:pPr>
        <w:pStyle w:val="ListParagraph"/>
        <w:numPr>
          <w:ilvl w:val="0"/>
          <w:numId w:val="1"/>
        </w:numPr>
        <w:spacing w:after="60"/>
      </w:pPr>
      <w:r>
        <w:t xml:space="preserve">Debt-free with high (73.4%) promoter holding and strong ROCE (33.28%) on paper</w:t>
      </w:r>
    </w:p>
    <w:p>
      <w:pPr>
        <w:pStyle w:val="ListParagraph"/>
        <w:numPr>
          <w:ilvl w:val="0"/>
          <w:numId w:val="1"/>
        </w:numPr>
        <w:spacing w:after="60"/>
      </w:pPr>
      <w:r>
        <w:t xml:space="preserve">A long-term trusted holder (dineshssairam) has stuck with the position despite frustrations, suggesting he still sees underlying value</w:t>
      </w:r>
    </w:p>
    <w:p>
      <w:pPr>
        <w:pStyle w:val="Heading1"/>
        <w:spacing w:after="120" w:before="280"/>
      </w:pPr>
      <w:r>
        <w:t xml:space="preserve">Bear Case / Key Risks</w:t>
      </w:r>
    </w:p>
    <w:p>
      <w:pPr>
        <w:pStyle w:val="ListParagraph"/>
        <w:numPr>
          <w:ilvl w:val="0"/>
          <w:numId w:val="1"/>
        </w:numPr>
        <w:spacing w:after="60"/>
      </w:pPr>
      <w:r>
        <w:t xml:space="preserve">Both the trailing 5-year growth (0.80%) and the most recent quarters (net loss, a seasonally-strong quarter turning weak) are poor — no confirmed catalyst exists to justify a turnaround call yet</w:t>
      </w:r>
    </w:p>
    <w:p>
      <w:pPr>
        <w:pStyle w:val="ListParagraph"/>
        <w:numPr>
          <w:ilvl w:val="0"/>
          <w:numId w:val="1"/>
        </w:numPr>
        <w:spacing w:after="60"/>
      </w:pPr>
      <w:r>
        <w:t xml:space="preserve">Management's response to the weak results was vague ('one-off, should improve') with no specifics and no commitment to regular investor communication, which the trusted holder himself called 'a little insulting'</w:t>
      </w:r>
    </w:p>
    <w:p>
      <w:pPr>
        <w:pStyle w:val="ListParagraph"/>
        <w:numPr>
          <w:ilvl w:val="0"/>
          <w:numId w:val="1"/>
        </w:numPr>
        <w:spacing w:after="60"/>
      </w:pPr>
      <w:r>
        <w:t xml:space="preserve">A minor but real related-party transaction (rent to a promoter-owned firm) exists, self-assessed as immaterial but still a governance data point to watch</w:t>
      </w:r>
    </w:p>
    <w:p>
      <w:pPr>
        <w:pStyle w:val="ListParagraph"/>
        <w:numPr>
          <w:ilvl w:val="0"/>
          <w:numId w:val="1"/>
        </w:numPr>
        <w:spacing w:after="60"/>
      </w:pPr>
      <w:r>
        <w:t xml:space="preserve">Low 3-year average ROE (5.77%) undercuts the headline ROCE figure</w:t>
      </w:r>
    </w:p>
    <w:p>
      <w:pPr>
        <w:pStyle w:val="Heading1"/>
        <w:spacing w:after="120" w:before="280"/>
      </w:pPr>
      <w:r>
        <w:t xml:space="preserve">Market-Cap Tier (informational — not a gate in this project)</w:t>
      </w:r>
    </w:p>
    <w:p>
      <w:pPr>
        <w:spacing w:after="120"/>
      </w:pPr>
      <w:r>
        <w:rPr>
          <w:b/>
          <w:bCs/>
        </w:rPr>
        <w:t xml:space="preserve">micro-cap</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A trusted holder's patience is being tested by genuinely weak recent quarters and poor management communication — not yet a turnaround story</w:t>
      </w:r>
    </w:p>
    <w:p>
      <w:pPr>
        <w:pStyle w:val="ListParagraph"/>
        <w:numPr>
          <w:ilvl w:val="0"/>
          <w:numId w:val="1"/>
        </w:numPr>
        <w:spacing w:after="60"/>
      </w:pPr>
      <w:r>
        <w:t xml:space="preserve">The original queueing signal (dineshssairam's 2021 portfolio mention) is stale relative to his own much more recent, critical in-thread commentary on two consecutive weak quarters and a management team that isn't communicating well.</w:t>
      </w:r>
    </w:p>
    <w:p>
      <w:pPr>
        <w:pStyle w:val="ListParagraph"/>
        <w:numPr>
          <w:ilvl w:val="0"/>
          <w:numId w:val="1"/>
        </w:numPr>
        <w:spacing w:after="60"/>
      </w:pPr>
      <w:r>
        <w:t xml:space="preserve">Per the methodology-fix rule, a weak trailing average can be overridden by a strong recent-quarter catalyst — but here the recent quarters are weak too (net loss, a seasonally strong quarter turning negative), with no confirmed catalyst, only a vague management assurance that hasn't yet been borne out.</w:t>
      </w:r>
    </w:p>
    <w:p>
      <w:pPr>
        <w:pStyle w:val="ListParagraph"/>
        <w:numPr>
          <w:ilvl w:val="0"/>
          <w:numId w:val="1"/>
        </w:numPr>
        <w:spacing w:after="60"/>
      </w:pPr>
      <w:r>
        <w:t xml:space="preserve">The related-party rent issue is real but self-assessed by the trusted user as immaterial in size, so it does not rise to a red-flag tier on its own — red_flag_tier stays empty, and per the conviction floor for very-high trusted candidates, conviction is set to Medium-High.</w:t>
      </w:r>
    </w:p>
    <w:p>
      <w:pPr>
        <w:pStyle w:val="ListParagraph"/>
        <w:numPr>
          <w:ilvl w:val="0"/>
          <w:numId w:val="1"/>
        </w:numPr>
        <w:spacing w:after="60"/>
      </w:pPr>
      <w:r>
        <w:t xml:space="preserve">thesis_fit is 'neither' given weak trailing and weak recent performance with no confirmed catalyst — this is exactly the case the methodology guidance says should be filtered rather than assumed bullish just because of the trusted-thread origin.</w:t>
      </w:r>
    </w:p>
    <w:p>
      <w:pPr>
        <w:pStyle w:val="ListParagraph"/>
        <w:numPr>
          <w:ilvl w:val="0"/>
          <w:numId w:val="1"/>
        </w:numPr>
        <w:spacing w:after="60"/>
      </w:pPr>
      <w:r>
        <w:t xml:space="preserve">Re-verification pass (2026-08-22): source (dineshssairam) is elevated-tier, not top-tier — no automatic floor. Conviction corrected down from Medium-High to Low: the trusted holder himself is a critical, demanding presence in-thread and his most recent posts read are explicitly negative on results ('another quarter of terrible results, net loss'; 'disappointed once again'). This is closer to an anti-endorsement than a conviction call, and stagnant 5-yr revenue growth corroborates the concern.</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2026-08-22T17:19:19.571Z</dcterms:created>
  <dcterms:modified xsi:type="dcterms:W3CDTF">2026-08-22T17:19:19.572Z</dcterms:modified>
</cp:coreProperties>
</file>

<file path=docProps/custom.xml><?xml version="1.0" encoding="utf-8"?>
<Properties xmlns="http://schemas.openxmlformats.org/officeDocument/2006/custom-properties" xmlns:vt="http://schemas.openxmlformats.org/officeDocument/2006/docPropsVTypes"/>
</file>