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Diamond Power Infrastructure Ltd (DPIL / DIACABS)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Post-bankruptcy T&amp;D-equipment revival with new promoters and a Rs 1,000 Cr MF raise — real sector tailwind, but extreme valuation, single-client concentration and a rating non-cooperation flag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DPIL is a vertically-integrated power-T&amp;D equipment maker — conductors, LV/MV/HV/EHV power cables, transformers, transmission towers, and EPC. It went through insolvency (old equity extinguished; ~100:1 share reconstitution around Dec 2023), was taken over by new promoters (reported to be linked to a large Indian business house / Adani was in the race), and has since raised ~Rs 1,000 Cr from mutual funds.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21,900 Cr (up ~150% in 1 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figures vary by source: ~Rs 1,115-2,298 Cr revenue; ~Rs 34-193 Cr PAT (TTM revenue reportedly +225% YoY off a small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historically negative (~-26%) from the distress period; normalising post-resolution + equity raise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revenue CAGR</w:t>
            </w:r>
          </w:p>
        </w:tc>
        <w:tc>
          <w:tcPr>
            <w:tcW w:type="dxa" w:w="5800"/>
          </w:tcPr>
          <w:p>
            <w:r>
              <w:t xml:space="preserve">~-0.7% (distorted by the distress years)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~70 -&gt; ~89; WC days ~50 -&gt; ~82 (deteriorating)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~84% (0% pledged)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distressed-asset revival levered to India's T&amp;D capex upcycle. The equity raise adds credibility and likely restores positive net worth. But: valuation is extreme (~Rs 21,900 Cr on Rs 34-193 Cr PAT = ~110-600x), the stock has already re-rated ~150% in a year (a string of upper circuits from ~Rs 23 to ~Rs 400+ post-reconstitution), order book is concentrated toward a single large client (DPIL effectively acts as that client's proxy supplier, with weak pricing power), working-capital metrics are deteriorating, and a rating agency (Brickworks) issued a non-cooperation notice in July 2025.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Power transmission &amp; distribution equipment (conductors, cables, transformers, towers)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Re-emerging integrated player; currently a captive/proxy supplier to one large client rather than a broad-market vendor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Integrated conductor + cable + transformer capacity qualified to utility specs — valuable if genuinely revived and diversified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Transformer &amp; Rectifier India, Apar Industries, KEI Industries, Polycab, Skipper (towers)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sector bottleneck is real, but DPIL's realisation of it is gated by single-client concentration, post-insolvency execution risk and a price that already assumes success.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Global-signal check: </w:t>
      </w:r>
      <w:r>
        <w:rPr>
          <w:b w:val="false"/>
          <w:bCs w:val="false"/>
          <w:color w:val="1E7A34"/>
          <w:sz w:val="20"/>
          <w:szCs w:val="20"/>
        </w:rPr>
        <w:t xml:space="preserve">Indian-name alignment with the Copper + electrification metals (grid + DC + EV pull) tailwind is confirmed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Bellwether / theme</w:t>
            </w:r>
          </w:p>
        </w:tc>
        <w:tc>
          <w:tcPr>
            <w:tcW w:type="dxa" w:w="5800"/>
          </w:tcPr>
          <w:p>
            <w:r>
              <w:t xml:space="preserve">Freeport-McMoRan — Copper + electrification metals (grid + DC + EV pull)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Global tailwind</w:t>
            </w:r>
          </w:p>
        </w:tc>
        <w:tc>
          <w:tcPr>
            <w:tcW w:type="dxa" w:w="5800"/>
          </w:tcPr>
          <w:p>
            <w:r>
              <w:t xml:space="preserve">accelerating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Signal looked for</w:t>
            </w:r>
          </w:p>
        </w:tc>
        <w:tc>
          <w:tcPr>
            <w:tcW w:type="dxa" w:w="5800"/>
          </w:tcPr>
          <w:p>
            <w:r>
              <w:t xml:space="preserve">copper + DC-capex pull visible in the company's own copper-cable capacity adds and a named, growing data-centre order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Found in the Indian name</w:t>
            </w:r>
          </w:p>
        </w:tc>
        <w:tc>
          <w:tcPr>
            <w:tcW w:type="dxa" w:w="5800"/>
          </w:tcPr>
          <w:p>
            <w:r>
              <w:t xml:space="preserve">Q1FY27 consol rev Rs690cr (+128.6% YoY), PAT Rs58.4cr (+256% YoY), EBITDA +172% to Rs85cr (margin 12.3%); commissioned 1,500 MT/month of copper wire-drawing &amp; cable capacity with low incremental capex; data-centre order book &gt;Rs575cr including a ~Rs52.86cr LOI for a Hyderabad hyperscale DC campus (via Aurionpro); aggregate order book Rs3,688cr (~2x FY26 revenue) as of 11-Aug-2026.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Checked on</w:t>
            </w:r>
          </w:p>
        </w:tc>
        <w:tc>
          <w:tcPr>
            <w:tcW w:type="dxa" w:w="5800"/>
          </w:tcPr>
          <w:p>
            <w:r>
              <w:t xml:space="preserve">2026-09-02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copper + DC-capex pull Freeport cited is directly in Diamond Power's own numbers: dedicated copper-cable capacity now live, a named and growing DC order book, aggregate book at ~2x revenue, revenue +129% YoY. Small base and 12% margin, but the same-signal read is clean.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Extended parabolic re-rating post-share-reconstitution; not independently charted.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light read — last ~12 of 22 posts, 2024 to Aug 2026. Threads cover the confusion around the ISIN change / 100:1 reconstitution, the new-promoter takeover (Adani-linked speculation), a Rs 175 Cr conductor LOI (GETCO spec), a from-scratch study note by the_solo_investor (Mar-2025) flagging single-client order-book concentration as the key risk, the Brickworks rating non-cooperation filing, and (Aug-2026) the_solo_investor revisiting now that the Rs 1,000 Cr MF raise has added credibility but valuation has run.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users. the_solo_investor (loves ~5) is the substantive analyst — did the work in Mar-2025, chose not to buy on order-book concentration, and is cautious on valuation now.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Integrated T&amp;D-equipment platform (conductors, cables, transformers, towers) levered to a real, multi-year Indian grid-capex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promoters, ~Rs 1,000 Cr mutual-fund raise, 0% promoter pledge — credibility restored vs the distress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expansion underway into visible transmission-sector demand; TTM revenue reportedly +225% YoY off a low base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~110-600x earnings and a ~150% one-year re-rating — valuation prices a flawless multi-year ramp before it is demonstrated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concentrated on a single large client; DPIL operates as a proxy supplier with limited negotiating 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Brickworks rating non-cooperation notice (Jul-2025) and an opaque promoter structure — disclosure/governance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metrics deteriorating; execution post-insolvency is unproven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21,900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T&amp;D tailwind, but a post-bankruptcy name at ~110-600x with client concentration and a rating non-cooperation flag — 'neither', low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recent revenue growth is real but off a distress-depressed base, and the multi-year record is negative; the re-rating (~150% in a year, from ~Rs 23 to ~Rs 400+) has already happened.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HIGH-CAUTION-adjacent on governance/disclosure (Brickworks rating non-cooperation, opaque promoter structure, single-client dependence) — not a formal AVOID/EXCLUDE (equity raised, no confirmed active SEBI action, no pledge), so proceeded, but conviction is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on valuation + execution-risk grounds despite the genuine grid-capex theme.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2026-09-02T14:18:18.938Z</dcterms:created>
  <dcterms:modified xsi:type="dcterms:W3CDTF">2026-09-02T14:18:18.939Z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