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Digikore Studios Ltd</w:t>
      </w:r>
    </w:p>
    <w:p>
      <w:pPr>
        <w:pBdr>
          <w:bottom w:val="single" w:color="CCCCCC" w:sz="6" w:space="8"/>
        </w:pBdr>
        <w:spacing w:after="200"/>
      </w:pPr>
      <w:r>
        <w:rPr>
          <w:i/>
          <w:iCs/>
          <w:color w:val="666666"/>
          <w:sz w:val="22"/>
          <w:szCs w:val="22"/>
        </w:rPr>
        <w:t xml:space="preserve">Rs ~45 Cr nano-cap VFX outsourcing studio (films/TV/OTT, US-Canada focused) -- claims an FY26 operational turnaround but reports negative TTM EPS, ~0% multi-year revenue growth, ~370-day debtors and, most seriously, ~86-87% of promoter holding pledged; AI disruption to commodity VFX tasks is a live structural threat</w:t>
      </w:r>
    </w:p>
    <w:p>
      <w:pPr>
        <w:shd w:fill="FFF0F0" w:val="clear"/>
        <w:spacing w:after="200"/>
      </w:pPr>
      <w:r>
        <w:rPr>
          <w:b/>
          <w:bCs/>
          <w:color w:val="B8860B"/>
          <w:sz w:val="22"/>
          <w:szCs w:val="22"/>
        </w:rPr>
        <w:t xml:space="preserve">RED FLAG TIER: HIGH CAUTION — </w:t>
      </w:r>
      <w:r>
        <w:rPr>
          <w:sz w:val="20"/>
          <w:szCs w:val="20"/>
        </w:rPr>
        <w:t xml:space="preserve">~86.5% of promoter holding pledged as of March 2026, alongside negative TTM EPS, ~370-day receivables and prior P&amp;L/cash-flow disclosure inconsistencies.</w:t>
      </w:r>
    </w:p>
    <w:p>
      <w:pPr>
        <w:pStyle w:val="Heading1"/>
        <w:spacing w:after="120" w:before="280"/>
      </w:pPr>
      <w:r>
        <w:t xml:space="preserve">Business Overview</w:t>
      </w:r>
    </w:p>
    <w:p>
      <w:pPr>
        <w:spacing w:after="120"/>
      </w:pPr>
      <w:r>
        <w:t xml:space="preserve">Digikore Studios provides visual-effects services -- rotoscoping, compositing, object removal, facial tracking -- for films, TV, web series and commercials, mostly for US/Canada clients. It has dabbled in an AI music platform ('I Made a Song'). Listed on the SME platform; has done a rights issue to part-repay debt.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45-46 Cr (nano-cap)</w:t>
            </w:r>
          </w:p>
        </w:tc>
      </w:tr>
      <w:tr>
        <w:tc>
          <w:tcPr>
            <w:tcW w:type="dxa" w:w="3200"/>
            <w:shd w:fill="F2F2F2" w:val="clear"/>
          </w:tcPr>
          <w:p>
            <w:r>
              <w:rPr>
                <w:b/>
                <w:bCs/>
              </w:rPr>
              <w:t xml:space="preserve">EPS (TTM)</w:t>
            </w:r>
          </w:p>
        </w:tc>
        <w:tc>
          <w:tcPr>
            <w:tcW w:type="dxa" w:w="5800"/>
          </w:tcPr>
          <w:p>
            <w:r>
              <w:t xml:space="preserve">~ -3.09 (loss-making)</w:t>
            </w:r>
          </w:p>
        </w:tc>
      </w:tr>
      <w:tr>
        <w:tc>
          <w:tcPr>
            <w:tcW w:type="dxa" w:w="3200"/>
            <w:shd w:fill="F2F2F2" w:val="clear"/>
          </w:tcPr>
          <w:p>
            <w:r>
              <w:rPr>
                <w:b/>
                <w:bCs/>
              </w:rPr>
              <w:t xml:space="preserve">Revenue growth</w:t>
            </w:r>
          </w:p>
        </w:tc>
        <w:tc>
          <w:tcPr>
            <w:tcW w:type="dxa" w:w="5800"/>
          </w:tcPr>
          <w:p>
            <w:r>
              <w:t xml:space="preserve">~0% multi-year CAGR</w:t>
            </w:r>
          </w:p>
        </w:tc>
      </w:tr>
      <w:tr>
        <w:tc>
          <w:tcPr>
            <w:tcW w:type="dxa" w:w="3200"/>
            <w:shd w:fill="F2F2F2" w:val="clear"/>
          </w:tcPr>
          <w:p>
            <w:r>
              <w:rPr>
                <w:b/>
                <w:bCs/>
              </w:rPr>
              <w:t xml:space="preserve">Debtors</w:t>
            </w:r>
          </w:p>
        </w:tc>
        <w:tc>
          <w:tcPr>
            <w:tcW w:type="dxa" w:w="5800"/>
          </w:tcPr>
          <w:p>
            <w:r>
              <w:t xml:space="preserve">~370 days -- very high</w:t>
            </w:r>
          </w:p>
        </w:tc>
      </w:tr>
      <w:tr>
        <w:tc>
          <w:tcPr>
            <w:tcW w:type="dxa" w:w="3200"/>
            <w:shd w:fill="F2F2F2" w:val="clear"/>
          </w:tcPr>
          <w:p>
            <w:r>
              <w:rPr>
                <w:b/>
                <w:bCs/>
              </w:rPr>
              <w:t xml:space="preserve">Promoter pledge</w:t>
            </w:r>
          </w:p>
        </w:tc>
        <w:tc>
          <w:tcPr>
            <w:tcW w:type="dxa" w:w="5800"/>
          </w:tcPr>
          <w:p>
            <w:r>
              <w:t xml:space="preserve">~86.5% of promoter holding pledged (as of Mar-2026)</w:t>
            </w:r>
          </w:p>
        </w:tc>
      </w:tr>
      <w:tr>
        <w:tc>
          <w:tcPr>
            <w:tcW w:type="dxa" w:w="3200"/>
            <w:shd w:fill="F2F2F2" w:val="clear"/>
          </w:tcPr>
          <w:p>
            <w:r>
              <w:rPr>
                <w:b/>
                <w:bCs/>
              </w:rPr>
              <w:t xml:space="preserve">52-week range</w:t>
            </w:r>
          </w:p>
        </w:tc>
        <w:tc>
          <w:tcPr>
            <w:tcW w:type="dxa" w:w="5800"/>
          </w:tcPr>
          <w:p>
            <w:r>
              <w:t xml:space="preserve">~Rs 30 - 100; stock down &gt;50% over 1 year, near 52-wk low</w:t>
            </w:r>
          </w:p>
        </w:tc>
      </w:tr>
      <w:tr>
        <w:tc>
          <w:tcPr>
            <w:tcW w:type="dxa" w:w="3200"/>
            <w:shd w:fill="F2F2F2" w:val="clear"/>
          </w:tcPr>
          <w:p>
            <w:r>
              <w:rPr>
                <w:b/>
                <w:bCs/>
              </w:rPr>
              <w:t xml:space="preserve">Capital actions</w:t>
            </w:r>
          </w:p>
        </w:tc>
        <w:tc>
          <w:tcPr>
            <w:tcW w:type="dxa" w:w="5800"/>
          </w:tcPr>
          <w:p>
            <w:r>
              <w:t xml:space="preserve">~Rs 25 Cr rights issue (Apr-2025) to part-repay debt -- dilutive</w:t>
            </w:r>
          </w:p>
        </w:tc>
      </w:tr>
    </w:tbl>
    <w:p>
      <w:pPr>
        <w:spacing w:after="100"/>
      </w:pPr>
    </w:p>
    <w:p>
      <w:pPr>
        <w:spacing w:after="120"/>
      </w:pPr>
      <w:r>
        <w:t xml:space="preserve">The reported 'operational turnaround' in FY26 is not visible in the fundamentals available: negative TTM EPS, flat multi-year revenue, extremely stretched receivables (~370 days), and a promoter pledge near 87% -- the single biggest concern. On top of company-specific issues, the VFX-outsourcing model faces a genuine structural question: generative AI is automating exactly the repetitive tasks (roto, tracking, object removal) that Indian VFX shops sell. Bulls (HarshVijay) argue AI could instead lift margins if adopted well, but that is unproven. Earlier concalls drew investor complaints that management seemed 'confused about its own numbers' with P&amp;L / cash-flow mismatches.</w:t>
      </w:r>
    </w:p>
    <w:p>
      <w:pPr>
        <w:pStyle w:val="Heading1"/>
        <w:spacing w:after="120" w:before="280"/>
      </w:pPr>
      <w:r>
        <w:t xml:space="preserve">Technical Read (Weekly / Monthly MACD + Bollinger Bands, or RSI/CCI/Williams %R proxy)</w:t>
      </w:r>
    </w:p>
    <w:p>
      <w:pPr>
        <w:spacing w:after="120"/>
      </w:pPr>
      <w:r>
        <w:t xml:space="preserve">Not pulled. SME-listed, illiquid; down &gt;50% in a year, near 52-week low.</w:t>
      </w:r>
    </w:p>
    <w:p>
      <w:pPr>
        <w:pStyle w:val="Heading1"/>
        <w:spacing w:after="120" w:before="280"/>
      </w:pPr>
      <w:r>
        <w:t xml:space="preserve">ValuePickr Community Signal</w:t>
      </w:r>
    </w:p>
    <w:p>
      <w:pPr>
        <w:spacing w:after="120"/>
      </w:pPr>
      <w:r>
        <w:t xml:space="preserve">Thread of 26 posts. HarshVijay tracked it constructively in 2024 (US contract wins, AI-as-opportunity framing, emailed the company secretary about P&amp;L/cash-flow discrepancies). charan_datt flagged management confusion over its own guidance and unexplained balance-sheet/P&amp;L gaps. Recent post (Sandesh_Patil, Jul-2026) lays out the collapse: stock -50%+ despite a claimed FY26 turnaround, and asks whether it's AI disruption, customer concentration, SME illiquidity, or the high promoter pledge -- explicitly noting the pledge 'could be influencing' the price. No trusted users on the thread; no conviction call.</w:t>
      </w:r>
    </w:p>
    <w:p>
      <w:pPr>
        <w:spacing w:after="120"/>
      </w:pPr>
      <w:r>
        <w:rPr>
          <w:b/>
          <w:bCs/>
          <w:sz w:val="20"/>
          <w:szCs w:val="20"/>
        </w:rPr>
        <w:t xml:space="preserve">High-conviction call from a top contributor: </w:t>
      </w:r>
      <w:r>
        <w:rPr>
          <w:sz w:val="20"/>
          <w:szCs w:val="20"/>
        </w:rPr>
        <w:t xml:space="preserve">No trusted-user engagement. Retail sentiment has turned clearly negative. No signal / net negative.</w:t>
      </w:r>
    </w:p>
    <w:p>
      <w:pPr>
        <w:pStyle w:val="Heading1"/>
        <w:spacing w:after="120" w:before="280"/>
      </w:pPr>
      <w:r>
        <w:t xml:space="preserve">BSE Corporate Actions / Other Red Flags</w:t>
      </w:r>
    </w:p>
    <w:p>
      <w:pPr>
        <w:spacing w:after="120"/>
      </w:pPr>
      <w:r>
        <w:t xml:space="preserve">HIGH CAUTION -- ~86.5% of promoter holding pledged (Mar-2026). Also: ~370-day debtors, prior investor complaints of P&amp;L/cash-flow mismatches and management confusion over its own numbers, dilutive rights issue, SME-tier illiquidity.</w:t>
      </w:r>
    </w:p>
    <w:p>
      <w:pPr>
        <w:pStyle w:val="Heading1"/>
        <w:spacing w:after="120" w:before="280"/>
      </w:pPr>
      <w:r>
        <w:t xml:space="preserve">Bull Case</w:t>
      </w:r>
    </w:p>
    <w:p>
      <w:pPr>
        <w:pStyle w:val="ListParagraph"/>
        <w:numPr>
          <w:ilvl w:val="0"/>
          <w:numId w:val="1"/>
        </w:numPr>
        <w:spacing w:after="60"/>
      </w:pPr>
      <w:r>
        <w:t xml:space="preserve">Operates in a growing end-market (film/OTT VFX demand); US/Canada client focus</w:t>
      </w:r>
    </w:p>
    <w:p>
      <w:pPr>
        <w:pStyle w:val="ListParagraph"/>
        <w:numPr>
          <w:ilvl w:val="0"/>
          <w:numId w:val="1"/>
        </w:numPr>
        <w:spacing w:after="60"/>
      </w:pPr>
      <w:r>
        <w:t xml:space="preserve">Management frames AI as a margin opportunity (automating low-value roto/tracking tasks)</w:t>
      </w:r>
    </w:p>
    <w:p>
      <w:pPr>
        <w:pStyle w:val="ListParagraph"/>
        <w:numPr>
          <w:ilvl w:val="0"/>
          <w:numId w:val="1"/>
        </w:numPr>
        <w:spacing w:after="60"/>
      </w:pPr>
      <w:r>
        <w:t xml:space="preserve">Stock down &gt;50%, near 52-week low -- deep-value optics if a genuine turnaround is real</w:t>
      </w:r>
    </w:p>
    <w:p>
      <w:pPr>
        <w:pStyle w:val="Heading1"/>
        <w:spacing w:after="120" w:before="280"/>
      </w:pPr>
      <w:r>
        <w:t xml:space="preserve">Bear Case / Key Risks</w:t>
      </w:r>
    </w:p>
    <w:p>
      <w:pPr>
        <w:pStyle w:val="ListParagraph"/>
        <w:numPr>
          <w:ilvl w:val="0"/>
          <w:numId w:val="1"/>
        </w:numPr>
        <w:spacing w:after="60"/>
      </w:pPr>
      <w:r>
        <w:t xml:space="preserve">~86.5% of promoter holding pledged -- HIGH CAUTION</w:t>
      </w:r>
    </w:p>
    <w:p>
      <w:pPr>
        <w:pStyle w:val="ListParagraph"/>
        <w:numPr>
          <w:ilvl w:val="0"/>
          <w:numId w:val="1"/>
        </w:numPr>
        <w:spacing w:after="60"/>
      </w:pPr>
      <w:r>
        <w:t xml:space="preserve">Negative TTM EPS, ~0% multi-year revenue growth, ~370-day debtors</w:t>
      </w:r>
    </w:p>
    <w:p>
      <w:pPr>
        <w:pStyle w:val="ListParagraph"/>
        <w:numPr>
          <w:ilvl w:val="0"/>
          <w:numId w:val="1"/>
        </w:numPr>
        <w:spacing w:after="60"/>
      </w:pPr>
      <w:r>
        <w:t xml:space="preserve">Generative AI directly automates the commodity VFX tasks the business sells</w:t>
      </w:r>
    </w:p>
    <w:p>
      <w:pPr>
        <w:pStyle w:val="ListParagraph"/>
        <w:numPr>
          <w:ilvl w:val="0"/>
          <w:numId w:val="1"/>
        </w:numPr>
        <w:spacing w:after="60"/>
      </w:pPr>
      <w:r>
        <w:t xml:space="preserve">History of P&amp;L / cash-flow inconsistencies and management confusion over its own numbers</w:t>
      </w:r>
    </w:p>
    <w:p>
      <w:pPr>
        <w:pStyle w:val="ListParagraph"/>
        <w:numPr>
          <w:ilvl w:val="0"/>
          <w:numId w:val="1"/>
        </w:numPr>
        <w:spacing w:after="60"/>
      </w:pPr>
      <w:r>
        <w:t xml:space="preserve">SME-tier disclosure and liquidity; dilutive rights issue</w:t>
      </w:r>
    </w:p>
    <w:p>
      <w:pPr>
        <w:pStyle w:val="Heading1"/>
        <w:spacing w:after="120" w:before="280"/>
      </w:pPr>
      <w:r>
        <w:t xml:space="preserve">Market-Cap Tier (informational — not a gate in this project)</w:t>
      </w:r>
    </w:p>
    <w:p>
      <w:pPr>
        <w:spacing w:after="120"/>
      </w:pPr>
      <w:r>
        <w:rPr>
          <w:b/>
          <w:bCs/>
        </w:rPr>
        <w:t xml:space="preserve">Nano-cap (~Rs 45-46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loss-making nano-cap VFX shop with ~87% promoter pledge, stretched receivables and a live AI-disruption threat -- HIGH CAUTION, thesis_fit 'neither', conviction Low</w:t>
      </w:r>
    </w:p>
    <w:p>
      <w:pPr>
        <w:pStyle w:val="ListParagraph"/>
        <w:numPr>
          <w:ilvl w:val="0"/>
          <w:numId w:val="1"/>
        </w:numPr>
        <w:spacing w:after="60"/>
      </w:pPr>
      <w:r>
        <w:t xml:space="preserve">The promoter pledge near 87% triggers HIGH CAUTION under the open-screen red-flag framework (proximate to a promoter-holding collapse). Combined with negative EPS, no revenue growth and an AI-disruption overhang, there is no multi-bagger case. Thesis_fit 'neither'.</w:t>
      </w:r>
    </w:p>
    <w:p>
      <w:pPr>
        <w:pStyle w:val="ListParagraph"/>
        <w:numPr>
          <w:ilvl w:val="0"/>
          <w:numId w:val="1"/>
        </w:numPr>
        <w:spacing w:after="60"/>
      </w:pPr>
      <w:r>
        <w:t xml:space="preserve">Per the rule, HIGH CAUTION means the deep read still proceeds -- it was done here -- but the community read is net negative and no trusted user is involved.</w:t>
      </w:r>
    </w:p>
    <w:p>
      <w:pPr>
        <w:pStyle w:val="ListParagraph"/>
        <w:numPr>
          <w:ilvl w:val="0"/>
          <w:numId w:val="1"/>
        </w:numPr>
        <w:spacing w:after="60"/>
      </w:pPr>
      <w:r>
        <w:t xml:space="preserve">theme match: no live-theme keyword hit in discovery (recency discovery).</w:t>
      </w:r>
    </w:p>
    <w:p>
      <w:pPr>
        <w:pStyle w:val="ListParagraph"/>
        <w:numPr>
          <w:ilvl w:val="0"/>
          <w:numId w:val="1"/>
        </w:numPr>
        <w:spacing w:after="60"/>
      </w:pPr>
      <w:r>
        <w:t xml:space="preserve">Re-check only if the promoter pledge falls materially (e.g. below ~30%) AND the company posts two consecutive profitable quarters with receivable days normalising.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2026-08-30T17:57:34.228Z</dcterms:created>
  <dcterms:modified xsi:type="dcterms:W3CDTF">2026-08-30T17:57:34.229Z</dcterms:modified>
</cp:coreProperties>
</file>

<file path=docProps/custom.xml><?xml version="1.0" encoding="utf-8"?>
<Properties xmlns="http://schemas.openxmlformats.org/officeDocument/2006/custom-properties" xmlns:vt="http://schemas.openxmlformats.org/officeDocument/2006/docPropsVTypes"/>
</file>