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EFC (I)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Coworking/flex-office platform trading at an optically cheap P/E that the community argues is inflated by non-cash Ind AS 116 lease accounting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Community-documented accounting-quality concern (Ind AS 116 lease revenue recognition potentially overstating PAT by 2x+), a proxy-advisor-challenged related-entity merger (Whitehills Interior), and a dilutive QIP announced near 52-week lows - a cluster of governance/transparency signals, not a single isolated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Leases and acquires commercial office space, converting it into flexible serviced workspaces (coworking) for corporates, SMEs, MSMEs and startups; expanded via multiple new-vertical subsidiaries (Whitehills Interior, Synthiko, TCC) later folded back via merger.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vs 52-week range</w:t>
            </w:r>
          </w:p>
        </w:tc>
        <w:tc>
          <w:tcPr>
            <w:tcW w:type="dxa" w:w="5800"/>
          </w:tcPr>
          <w:p>
            <w:r>
              <w:t xml:space="preserve">Rs 192 current, near the Rs 171 low (range Rs 171-337)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34.3%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11.1 (optically cheap - see red flag)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Q1FY27 revenue Rs 282.88 Cr, PAT +58.91%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ROE/growth numbers look excellent and the 11.1x P/E looks cheap, but the community's accounting-quality critique below argues normalized PAT is materially lower than reported.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255 posts (Dec 2025 to June 2026), spanning a controversial related-entity merger, a dilutive QIP announced near 52-week lows, and a detailed accounting-quality critique of the company's lease treatment.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 Moneylife article (relayed by yogeshkhadse) reports proxy advisor SES publicly questioned the logic of EFC's merger with its own recently-incorporated subsidiary Whitehills Interior Ltd (WIL) despite shareholder approval. Shivam_Mahana and sanju.inlv flagged a QIP announced at/near 52-week lows as dilutive, with Aloysius_De_Sa (trusted) explicitly calling it 'nonsensical.' Most significantly, rkochatterjee (2 detailed posts, June 2026) laid out that under Ind AS 116, EFC recognizes the full present value of long-term lease contracts as revenue upfront (a non-cash 'Lease receivable recognition' item of Rs 182.81 Cr flowing through operating cash flow), and that normalized PAT once this is stripped out could be as low as ~Rs 100 Cr against a reported Rs 235 Cr FY26 PAT - implying a real P/E closer to 26x, not the optically cheap 11x. hnk_so (trusted) corroborated this 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2026-02-15 — vikasbargale</w:t>
      </w:r>
      <w:r>
        <w:rPr>
          <w:i/>
          <w:iCs/>
          <w:color w:val="666666"/>
          <w:sz w:val="18"/>
          <w:szCs w:val="18"/>
        </w:rPr>
        <w:t xml:space="preserve"> (EFC - Entrepreneurial Facilitation Centre)</w:t>
      </w:r>
      <w:r>
        <w:rPr>
          <w:sz w:val="20"/>
          <w:szCs w:val="20"/>
        </w:rPr>
        <w:br/>
        <w:t xml:space="preserve">: "Invested and Biased with 2% allocation" (post #214) while sharing quarterly results.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ROE of 34.3% and Q1FY27 PAT growth of 58.91% YoY are genuinely strong if taken at face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GCC/managed-office demand tailwind is real and independently corroborated by peer companies' concalls and a Deloitte forecast of 5,000 new GCCs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has historically been aggressive on growth/expansion into adjacent verticals (BESS, data centers via Synthiko)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Community-documented accounting-quality concern: Ind AS 116 finance-lease treatment may inflate reported PAT by more than 2x versus a cash-adjusted normalized figure, which would make the stock materially more expensive than its headline P/E suggests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related-entity merger (Whitehills Interior) was publicly challenged by an independent proxy advisor as lacking clear strategic logic, alongside a pattern of spinning out new promoter-heavy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QIP announced near 52-week lows dilutes existing shareholders at an inopportune price, with even a trusted community member calling the timing 'nonsensical'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Occupancy/seat-addition targets have already been walked back once (92k seats FY26 target cut to ~78-80k)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Optically cheap on reported numbers, but a specific and detailed community accounting-quality critique plus a proxy-advisor-challenged merger and dilutive QIP warrant real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quantified community critique (not vague suspicion) argues normalized PAT is roughly half of reported PAT, which would more than double the real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corroboration from a second trusted user, plus a proxy advisor publicly challenging a related-entity merger, raises this above a single-poster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Dilutive capital raising near 52-week lows compounds rather than offsets the governance/accounting caution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2026-08-23T15:39:06.755Z</dcterms:created>
  <dcterms:modified xsi:type="dcterms:W3CDTF">2026-08-23T15:39:06.756Z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