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Electronics Mart India Ltd (EMIL)</w:t>
      </w:r>
    </w:p>
    <w:p>
      <w:pPr>
        <w:pBdr>
          <w:bottom w:val="single" w:color="CCCCCC" w:sz="6" w:space="8"/>
        </w:pBdr>
        <w:spacing w:after="200"/>
      </w:pPr>
      <w:r>
        <w:rPr>
          <w:i/>
          <w:iCs/>
          <w:color w:val="666666"/>
          <w:sz w:val="22"/>
          <w:szCs w:val="22"/>
        </w:rPr>
        <w:t xml:space="preserve">South India's largest consumer-electronics retailer just posted a 'blockbuster' Q1 FY27 after two years of margin compression</w:t>
      </w:r>
    </w:p>
    <w:p>
      <w:pPr>
        <w:pStyle w:val="Heading1"/>
        <w:spacing w:after="120" w:before="280"/>
      </w:pPr>
      <w:r>
        <w:t xml:space="preserve">Business Overview</w:t>
      </w:r>
    </w:p>
    <w:p>
      <w:pPr>
        <w:spacing w:after="120"/>
      </w:pPr>
      <w:r>
        <w:t xml:space="preserve">Electronics Mart (Bajaj Electronics brand) is India's 4th-largest consumer-durables and electronics retailer and the largest in South India, concentrated in Telangana and Andhra Pradesh with an expanding NCR (Delhi) cluster. It sells large appliances, mobiles, small appliances, and IT products across 227 stores as of Q1 FY27.</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7,184 Cr</w:t>
            </w:r>
          </w:p>
        </w:tc>
      </w:tr>
      <w:tr>
        <w:tc>
          <w:tcPr>
            <w:tcW w:type="dxa" w:w="3200"/>
            <w:shd w:fill="F2F2F2" w:val="clear"/>
          </w:tcPr>
          <w:p>
            <w:r>
              <w:rPr>
                <w:b/>
                <w:bCs/>
              </w:rPr>
              <w:t xml:space="preserve">3-yr avg ROE</w:t>
            </w:r>
          </w:p>
        </w:tc>
        <w:tc>
          <w:tcPr>
            <w:tcW w:type="dxa" w:w="5800"/>
          </w:tcPr>
          <w:p>
            <w:r>
              <w:t xml:space="preserve">10.4% (weak)</w:t>
            </w:r>
          </w:p>
        </w:tc>
      </w:tr>
      <w:tr>
        <w:tc>
          <w:tcPr>
            <w:tcW w:type="dxa" w:w="3200"/>
            <w:shd w:fill="F2F2F2" w:val="clear"/>
          </w:tcPr>
          <w:p>
            <w:r>
              <w:rPr>
                <w:b/>
                <w:bCs/>
              </w:rPr>
              <w:t xml:space="preserve">Q1 FY27 result</w:t>
            </w:r>
          </w:p>
        </w:tc>
        <w:tc>
          <w:tcPr>
            <w:tcW w:type="dxa" w:w="5800"/>
          </w:tcPr>
          <w:p>
            <w:r>
              <w:t xml:space="preserve">Revenue +39% YoY, EBITDA +118% YoY, PAT +458% YoY</w:t>
            </w:r>
          </w:p>
        </w:tc>
      </w:tr>
      <w:tr>
        <w:tc>
          <w:tcPr>
            <w:tcW w:type="dxa" w:w="3200"/>
            <w:shd w:fill="F2F2F2" w:val="clear"/>
          </w:tcPr>
          <w:p>
            <w:r>
              <w:rPr>
                <w:b/>
                <w:bCs/>
              </w:rPr>
              <w:t xml:space="preserve">Q1 FY27 margins</w:t>
            </w:r>
          </w:p>
        </w:tc>
        <w:tc>
          <w:tcPr>
            <w:tcW w:type="dxa" w:w="5800"/>
          </w:tcPr>
          <w:p>
            <w:r>
              <w:t xml:space="preserve">Gross 17.2% vs 14.6%; EBITDA 9.9% vs 6.3%</w:t>
            </w:r>
          </w:p>
        </w:tc>
      </w:tr>
      <w:tr>
        <w:tc>
          <w:tcPr>
            <w:tcW w:type="dxa" w:w="3200"/>
            <w:shd w:fill="F2F2F2" w:val="clear"/>
          </w:tcPr>
          <w:p>
            <w:r>
              <w:rPr>
                <w:b/>
                <w:bCs/>
              </w:rPr>
              <w:t xml:space="preserve">52-week range</w:t>
            </w:r>
          </w:p>
        </w:tc>
        <w:tc>
          <w:tcPr>
            <w:tcW w:type="dxa" w:w="5800"/>
          </w:tcPr>
          <w:p>
            <w:r>
              <w:t xml:space="preserve">Rs 75.65 - 168.5</w:t>
            </w:r>
          </w:p>
        </w:tc>
      </w:tr>
    </w:tbl>
    <w:p>
      <w:pPr>
        <w:spacing w:after="100"/>
      </w:pPr>
    </w:p>
    <w:p>
      <w:pPr>
        <w:spacing w:after="120"/>
      </w:pPr>
      <w:r>
        <w:t xml:space="preserve">FY25 and FY26 both showed margin compression (EBITDA margin fell from 7.2%→6.5%→~6% across FY25-FY26 as new-store opex outpaced revenue, plus a Q1 FY26 warehouse fire and weak summer). Q1 FY27 (reported Aug 2026, explicitly titled 'BLOCKBUSTER RESULTS' by the tracking poster) shows a sharp reversal: revenue +39% YoY, EBITDA +118% YoY, PAT +458% YoY, with gross margin expanding ~260bps and EBITDA margin nearly matching FY25 levels again. Some of the YoY comparison is flattered by an exceptionally weak prior-year summer.</w:t>
      </w:r>
    </w:p>
    <w:p>
      <w:pPr>
        <w:pStyle w:val="Heading1"/>
        <w:spacing w:after="120" w:before="280"/>
      </w:pPr>
      <w:r>
        <w:t xml:space="preserve">Technical Read (Weekly / Monthly MACD + Bollinger Bands, or RSI/CCI/Williams %R proxy)</w:t>
      </w:r>
    </w:p>
    <w:p>
      <w:pPr>
        <w:spacing w:after="120"/>
      </w:pPr>
      <w:r>
        <w:t xml:space="preserve">Not independently pulled this pass; 52-week range Rs 75.65-168.5 shows a wide swing consistent with the margin volatility.</w:t>
      </w:r>
    </w:p>
    <w:p>
      <w:pPr>
        <w:pStyle w:val="Heading1"/>
        <w:spacing w:after="120" w:before="280"/>
      </w:pPr>
      <w:r>
        <w:t xml:space="preserve">ValuePickr Community Signal</w:t>
      </w:r>
    </w:p>
    <w:p>
      <w:pPr>
        <w:spacing w:after="120"/>
      </w:pPr>
      <w:r>
        <w:t xml:space="preserve">ranvir (trusted user) has posted every quarterly result since Q2 FY25, providing a clean, consistent record of the margin-compression-then-recovery cycle: FY25 margin erosion attributed to aggressive store expansion (34 stores in FY24, continuing pace) outpacing revenue absorption, a management guidance cut (15%→12% growth target, Feb 2025), a warehouse fire in Q1 FY26, and finally the Q1 FY27 recovery attributed explicitly to 'exceptionally weak' prior-year summer comps plus genuine operating leverage as stores mature.</w:t>
      </w:r>
    </w:p>
    <w:p>
      <w:pPr>
        <w:spacing w:after="120"/>
      </w:pPr>
      <w:r>
        <w:rPr>
          <w:b/>
          <w:bCs/>
          <w:sz w:val="20"/>
          <w:szCs w:val="20"/>
        </w:rPr>
        <w:t xml:space="preserve">High-conviction call from a top contributor: </w:t>
      </w:r>
      <w:r>
        <w:rPr>
          <w:sz w:val="20"/>
          <w:szCs w:val="20"/>
        </w:rPr>
        <w:t xml:space="preserve">ranvir's own framing of the Q1 FY27 result as 'BLOCKBUSTER' (in his post title) is the clearest trusted-source characterization in this thread — a departure from his typically neutral, data-only result summaries in prior quarters.</w:t>
      </w:r>
    </w:p>
    <w:p>
      <w:pPr>
        <w:pStyle w:val="Heading1"/>
        <w:spacing w:after="120" w:before="280"/>
      </w:pPr>
      <w:r>
        <w:t xml:space="preserve">Trusted-User Signals (Ongoing)</w:t>
      </w:r>
    </w:p>
    <w:p>
      <w:pPr>
        <w:spacing w:after="120"/>
      </w:pPr>
      <w:r>
        <w:rPr>
          <w:i/>
          <w:iCs/>
          <w:color w:val="666666"/>
          <w:sz w:val="18"/>
          <w:szCs w:val="18"/>
        </w:rPr>
        <w:t xml:space="preserve">Every time a trusted user expresses clear conviction on this stock, most recent first — this section accumulates over time, it isn't a one-time snapshot.</w:t>
      </w:r>
    </w:p>
    <w:p>
      <w:pPr>
        <w:spacing w:after="100"/>
      </w:pPr>
      <w:r>
        <w:rPr>
          <w:b/>
          <w:bCs/>
          <w:sz w:val="20"/>
          <w:szCs w:val="20"/>
        </w:rPr>
        <w:t xml:space="preserve">2026-08 — ranvir</w:t>
      </w:r>
      <w:r>
        <w:rPr>
          <w:i/>
          <w:iCs/>
          <w:color w:val="666666"/>
          <w:sz w:val="18"/>
          <w:szCs w:val="18"/>
        </w:rPr>
        <w:t xml:space="preserve"> (Ranvir's Portfolio)</w:t>
      </w:r>
      <w:r>
        <w:rPr>
          <w:sz w:val="20"/>
          <w:szCs w:val="20"/>
        </w:rPr>
        <w:br/>
        <w:t xml:space="preserve">: "Have increased portfolio weights behind bets where I think that growth rates can be faster + valuations r not expensive" — listed alongside MAN Industries, Time Technoplast, Entero Healthcare (post #1874). Source of this stock's trusted-thread queueing.</w:t>
      </w:r>
    </w:p>
    <w:p>
      <w:pPr>
        <w:pStyle w:val="Heading1"/>
        <w:spacing w:after="120" w:before="280"/>
      </w:pPr>
      <w:r>
        <w:t xml:space="preserve">BSE Corporate Actions / Other Red Flags</w:t>
      </w:r>
    </w:p>
    <w:p>
      <w:pPr>
        <w:spacing w:after="120"/>
      </w:pPr>
      <w:r>
        <w:t xml:space="preserve">No red-flag corporate actions found. A May 2025 warehouse fire caused an insured Rs 8 Cr inventory loss, fully provisioned and expected to be reversed on claim settlement — a one-off operational event, not a governance concern.</w:t>
      </w:r>
    </w:p>
    <w:p>
      <w:pPr>
        <w:pStyle w:val="Heading1"/>
        <w:spacing w:after="120" w:before="280"/>
      </w:pPr>
      <w:r>
        <w:t xml:space="preserve">Bull Case</w:t>
      </w:r>
    </w:p>
    <w:p>
      <w:pPr>
        <w:pStyle w:val="ListParagraph"/>
        <w:numPr>
          <w:ilvl w:val="0"/>
          <w:numId w:val="1"/>
        </w:numPr>
        <w:spacing w:after="60"/>
      </w:pPr>
      <w:r>
        <w:t xml:space="preserve">Q1 FY27's margin recovery (EBITDA margin 9.9% vs 6.3%) shows real operating leverage kicking in as newer stores mature (96 stores now &gt;4 years old, contributing disproportionately to profitability)</w:t>
      </w:r>
    </w:p>
    <w:p>
      <w:pPr>
        <w:pStyle w:val="ListParagraph"/>
        <w:numPr>
          <w:ilvl w:val="0"/>
          <w:numId w:val="1"/>
        </w:numPr>
        <w:spacing w:after="60"/>
      </w:pPr>
      <w:r>
        <w:t xml:space="preserve">39% revenue growth and 227-store footprint show continued market-share gains in South India plus a scaling NCR cluster (up 38% YoY in the prior quarter)</w:t>
      </w:r>
    </w:p>
    <w:p>
      <w:pPr>
        <w:pStyle w:val="ListParagraph"/>
        <w:numPr>
          <w:ilvl w:val="0"/>
          <w:numId w:val="1"/>
        </w:numPr>
        <w:spacing w:after="60"/>
      </w:pPr>
      <w:r>
        <w:t xml:space="preserve">Small enough (~Rs 7,184 Cr) that a genuine re-rating plus continued execution could plausibly compound toward a 10x outcome over several years</w:t>
      </w:r>
    </w:p>
    <w:p>
      <w:pPr>
        <w:pStyle w:val="ListParagraph"/>
        <w:numPr>
          <w:ilvl w:val="0"/>
          <w:numId w:val="1"/>
        </w:numPr>
        <w:spacing w:after="60"/>
      </w:pPr>
      <w:r>
        <w:t xml:space="preserve">ranvir's explicit 'blockbuster' framing is a stronger characterization than his typically neutral quarterly updates</w:t>
      </w:r>
    </w:p>
    <w:p>
      <w:pPr>
        <w:pStyle w:val="Heading1"/>
        <w:spacing w:after="120" w:before="280"/>
      </w:pPr>
      <w:r>
        <w:t xml:space="preserve">Bear Case / Key Risks</w:t>
      </w:r>
    </w:p>
    <w:p>
      <w:pPr>
        <w:pStyle w:val="ListParagraph"/>
        <w:numPr>
          <w:ilvl w:val="0"/>
          <w:numId w:val="1"/>
        </w:numPr>
        <w:spacing w:after="60"/>
      </w:pPr>
      <w:r>
        <w:t xml:space="preserve">The 3-year average ROE (10.4%) reflects a genuine, multi-year pattern of store-expansion costs outpacing revenue — this is only one strong quarter against that backdrop</w:t>
      </w:r>
    </w:p>
    <w:p>
      <w:pPr>
        <w:pStyle w:val="ListParagraph"/>
        <w:numPr>
          <w:ilvl w:val="0"/>
          <w:numId w:val="1"/>
        </w:numPr>
        <w:spacing w:after="60"/>
      </w:pPr>
      <w:r>
        <w:t xml:space="preserve">Management itself cut growth guidance from 15% to 12% in Feb 2025, and the Q1 FY27 beat is partly a function of an unusually weak prior-year comp (per the same tracking poster's own framing) rather than purely new strength</w:t>
      </w:r>
    </w:p>
    <w:p>
      <w:pPr>
        <w:pStyle w:val="ListParagraph"/>
        <w:numPr>
          <w:ilvl w:val="0"/>
          <w:numId w:val="1"/>
        </w:numPr>
        <w:spacing w:after="60"/>
      </w:pPr>
      <w:r>
        <w:t xml:space="preserve">Retail is a thin-margin, execution-intensive business exposed to consumer discretionary spending cycles and competition from Reliance Digital/Croma/Vijay Sales nationally</w:t>
      </w:r>
    </w:p>
    <w:p>
      <w:pPr>
        <w:pStyle w:val="ListParagraph"/>
        <w:numPr>
          <w:ilvl w:val="0"/>
          <w:numId w:val="1"/>
        </w:numPr>
        <w:spacing w:after="60"/>
      </w:pPr>
      <w:r>
        <w:t xml:space="preserve">Only one quarter of confirmed recovery — needs at least one more quarter to distinguish a real inflection from a high-base-comparison effect</w:t>
      </w:r>
    </w:p>
    <w:p>
      <w:pPr>
        <w:pStyle w:val="Heading1"/>
        <w:spacing w:after="120" w:before="280"/>
      </w:pPr>
      <w:r>
        <w:t xml:space="preserve">Market-Cap Tier (informational — not a gate in this project)</w:t>
      </w:r>
    </w:p>
    <w:p>
      <w:pPr>
        <w:spacing w:after="120"/>
      </w:pPr>
      <w:r>
        <w:rPr>
          <w:b/>
          <w:bCs/>
        </w:rPr>
        <w:t xml:space="preserve">Small-cap (~Rs 7,184 Cr)</w:t>
      </w:r>
    </w:p>
    <w:p>
      <w:pPr>
        <w:pStyle w:val="Heading1"/>
        <w:spacing w:after="120" w:before="280"/>
      </w:pPr>
      <w:r>
        <w:t xml:space="preserve">Thesis Fit</w:t>
      </w:r>
    </w:p>
    <w:p>
      <w:pPr>
        <w:spacing w:after="120"/>
      </w:pPr>
      <w:r>
        <w:rPr>
          <w:b/>
          <w:bCs/>
          <w:sz w:val="24"/>
          <w:szCs w:val="24"/>
        </w:rPr>
        <w:t xml:space="preserve">10x-in-2-3-years (unconfirmed) — small-cap size makes 10x mathematically plausible, and the Q1 FY27 margin recovery is dramatic, but it follows two years of margin compression and is partly explained by an easy prior-year comp, so this is a LOW/MEDIUM-conviction, not-yet-confirmed call</w:t>
      </w:r>
    </w:p>
    <w:p>
      <w:pPr>
        <w:pStyle w:val="Heading1"/>
        <w:spacing w:after="120" w:before="280"/>
      </w:pPr>
      <w:r>
        <w:t xml:space="preserve">Verdict</w:t>
      </w:r>
    </w:p>
    <w:p>
      <w:pPr>
        <w:spacing w:after="120"/>
      </w:pPr>
      <w:r>
        <w:rPr>
          <w:b/>
          <w:bCs/>
          <w:sz w:val="24"/>
          <w:szCs w:val="24"/>
        </w:rPr>
        <w:t xml:space="preserve">A dramatic single-quarter margin recovery after two years of compression — genuinely encouraging, but needs confirmation before conviction rises</w:t>
      </w:r>
    </w:p>
    <w:p>
      <w:pPr>
        <w:pStyle w:val="ListParagraph"/>
        <w:numPr>
          <w:ilvl w:val="0"/>
          <w:numId w:val="1"/>
        </w:numPr>
        <w:spacing w:after="60"/>
      </w:pPr>
      <w:r>
        <w:t xml:space="preserve">Per this project's methodology-fix rule, the weak trailing ROE doesn't disqualify the stock given the strong, specific Q1 FY27 improvement — but the magnitude (458% PAT growth) is partly a base-effect artifact per the tracking poster's own admission, which argues for caution rather than high conviction</w:t>
      </w:r>
    </w:p>
    <w:p>
      <w:pPr>
        <w:pStyle w:val="ListParagraph"/>
        <w:numPr>
          <w:ilvl w:val="0"/>
          <w:numId w:val="1"/>
        </w:numPr>
        <w:spacing w:after="60"/>
      </w:pPr>
      <w:r>
        <w:t xml:space="preserve">Management's own guidance cut in Feb 2025 shows this business has recently disappointed relative to its own targets, adding to the case for waiting on confirmation</w:t>
      </w:r>
    </w:p>
    <w:p>
      <w:pPr>
        <w:pStyle w:val="ListParagraph"/>
        <w:numPr>
          <w:ilvl w:val="0"/>
          <w:numId w:val="1"/>
        </w:numPr>
        <w:spacing w:after="60"/>
      </w:pPr>
      <w:r>
        <w:t xml:space="preserve">Conviction held at Medium given genuine operating-leverage signs, but not higher given the one-quarter, base-effect-assisted nature of the beat</w:t>
      </w:r>
    </w:p>
    <w:p>
      <w:pPr>
        <w:pStyle w:val="ListParagraph"/>
        <w:numPr>
          <w:ilvl w:val="0"/>
          <w:numId w:val="1"/>
        </w:numPr>
        <w:spacing w:after="60"/>
      </w:pPr>
      <w:r>
        <w:t xml:space="preserve">Flagged for 30-day revisit given no red flag and thesis fit is not 'neither' — the next quarter is the key confirmation test</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2026-08-22T13:27:52.758Z</dcterms:created>
  <dcterms:modified xsi:type="dcterms:W3CDTF">2026-08-22T13:27:52.760Z</dcterms:modified>
</cp:coreProperties>
</file>

<file path=docProps/custom.xml><?xml version="1.0" encoding="utf-8"?>
<Properties xmlns="http://schemas.openxmlformats.org/officeDocument/2006/custom-properties" xmlns:vt="http://schemas.openxmlformats.org/officeDocument/2006/docPropsVTypes"/>
</file>