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Embassy Developments Ltd</w:t>
      </w:r>
    </w:p>
    <w:p>
      <w:pPr>
        <w:pBdr>
          <w:bottom w:val="single" w:color="CCCCCC" w:sz="6" w:space="8"/>
        </w:pBdr>
        <w:spacing w:after="200"/>
      </w:pPr>
      <w:r>
        <w:rPr>
          <w:i/>
          <w:iCs/>
          <w:color w:val="666666"/>
          <w:sz w:val="22"/>
          <w:szCs w:val="22"/>
        </w:rPr>
        <w:t xml:space="preserve">Ex-Indiabulls Real Estate, now Embassy-controlled and finally past its merger litigation - but a fresh Canara Bank insolvency claim, weekly-only trading surveillance and negative 3-year ROE keep it uninvestable for this thesis</w:t>
      </w:r>
    </w:p>
    <w:p>
      <w:pPr>
        <w:shd w:fill="FFF0F0" w:val="clear"/>
        <w:spacing w:after="200"/>
      </w:pPr>
      <w:r>
        <w:rPr>
          <w:b/>
          <w:bCs/>
          <w:color w:val="B8860B"/>
          <w:sz w:val="22"/>
          <w:szCs w:val="22"/>
        </w:rPr>
        <w:t xml:space="preserve">RED FLAG TIER: HIGH CAUTION — </w:t>
      </w:r>
      <w:r>
        <w:rPr>
          <w:sz w:val="20"/>
          <w:szCs w:val="20"/>
        </w:rPr>
        <w:t xml:space="preserve">Undergoing an Insolvency Resolution Process (Canara Bank NCLT petition over a ~Rs 300 Cr legacy group guarantee); exchanges placed the stock under Additional Surveillance Mechanism from April 2026 with trading permitted only on the first day of each week. Going-concern uncertainty until the matter is resolved.</w:t>
      </w:r>
    </w:p>
    <w:p>
      <w:pPr>
        <w:pStyle w:val="Heading1"/>
        <w:spacing w:after="120" w:before="280"/>
      </w:pPr>
      <w:r>
        <w:t xml:space="preserve">Business Overview</w:t>
      </w:r>
    </w:p>
    <w:p>
      <w:pPr>
        <w:spacing w:after="120"/>
      </w:pPr>
      <w:r>
        <w:t xml:space="preserve">Embassy Developments Ltd (EDL; formerly Indiabulls Real Estate, then Equinox India Developments) is a Bengaluru-headquartered residential/commercial developer, controlled by the Embassy Group since March 2023 after the long-delayed Embassy-IBREL merger. The Embassy Group brought a large land bank and premium project pipeline (Worli project with a projected surplus of ~Rs 5,500 Cr against a sub-Rs 10,000 Cr market cap was a key bull anchor). Guidance is for ~Rs 1,500 Cr quarterly pre-sales; management says cash flow is already positive while P&amp;L profitability is 4-6 quarters away.</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8,644 Cr</w:t>
            </w:r>
          </w:p>
        </w:tc>
      </w:tr>
      <w:tr>
        <w:tc>
          <w:tcPr>
            <w:tcW w:type="dxa" w:w="3200"/>
            <w:shd w:fill="F2F2F2" w:val="clear"/>
          </w:tcPr>
          <w:p>
            <w:r>
              <w:rPr>
                <w:b/>
                <w:bCs/>
              </w:rPr>
              <w:t xml:space="preserve">ROE (3-yr)</w:t>
            </w:r>
          </w:p>
        </w:tc>
        <w:tc>
          <w:tcPr>
            <w:tcW w:type="dxa" w:w="5800"/>
          </w:tcPr>
          <w:p>
            <w:r>
              <w:t xml:space="preserve">~ -7.2% (loss-making)</w:t>
            </w:r>
          </w:p>
        </w:tc>
      </w:tr>
      <w:tr>
        <w:tc>
          <w:tcPr>
            <w:tcW w:type="dxa" w:w="3200"/>
            <w:shd w:fill="F2F2F2" w:val="clear"/>
          </w:tcPr>
          <w:p>
            <w:r>
              <w:rPr>
                <w:b/>
                <w:bCs/>
              </w:rPr>
              <w:t xml:space="preserve">Debt/Equity</w:t>
            </w:r>
          </w:p>
        </w:tc>
        <w:tc>
          <w:tcPr>
            <w:tcW w:type="dxa" w:w="5800"/>
          </w:tcPr>
          <w:p>
            <w:r>
              <w:t xml:space="preserve">~0.42; low interest coverage</w:t>
            </w:r>
          </w:p>
        </w:tc>
      </w:tr>
      <w:tr>
        <w:tc>
          <w:tcPr>
            <w:tcW w:type="dxa" w:w="3200"/>
            <w:shd w:fill="F2F2F2" w:val="clear"/>
          </w:tcPr>
          <w:p>
            <w:r>
              <w:rPr>
                <w:b/>
                <w:bCs/>
              </w:rPr>
              <w:t xml:space="preserve">Revenue (TTM)</w:t>
            </w:r>
          </w:p>
        </w:tc>
        <w:tc>
          <w:tcPr>
            <w:tcW w:type="dxa" w:w="5800"/>
          </w:tcPr>
          <w:p>
            <w:r>
              <w:t xml:space="preserve">~Rs 2,655 Cr</w:t>
            </w:r>
          </w:p>
        </w:tc>
      </w:tr>
      <w:tr>
        <w:tc>
          <w:tcPr>
            <w:tcW w:type="dxa" w:w="3200"/>
            <w:shd w:fill="F2F2F2" w:val="clear"/>
          </w:tcPr>
          <w:p>
            <w:r>
              <w:rPr>
                <w:b/>
                <w:bCs/>
              </w:rPr>
              <w:t xml:space="preserve">52-week range</w:t>
            </w:r>
          </w:p>
        </w:tc>
        <w:tc>
          <w:tcPr>
            <w:tcW w:type="dxa" w:w="5800"/>
          </w:tcPr>
          <w:p>
            <w:r>
              <w:t xml:space="preserve">~Rs 39.5 - 105.7</w:t>
            </w:r>
          </w:p>
        </w:tc>
      </w:tr>
    </w:tbl>
    <w:p>
      <w:pPr>
        <w:spacing w:after="100"/>
      </w:pPr>
    </w:p>
    <w:p>
      <w:pPr>
        <w:spacing w:after="120"/>
      </w:pPr>
      <w:r>
        <w:t xml:space="preserve">The quality gate is not met: negative ~7.2% three-year ROE, low interest coverage, still pre-profitability at the P&amp;L level. The bull case is a sum-of-the-parts land-bank/pre-sales story (unsold inventory and project surpluses well above market cap) plus Embassy Group sponsorship and de-leveraging via warrant conversions. But the balance sheet still carries ~Rs 700 Cr of Blackstone debt at ~18% and a newly surfaced contingent liability.</w:t>
      </w:r>
    </w:p>
    <w:p>
      <w:pPr>
        <w:pStyle w:val="Heading1"/>
        <w:spacing w:after="120" w:before="280"/>
      </w:pPr>
      <w:r>
        <w:t xml:space="preserve">Technical Read (Weekly / Monthly MACD + Bollinger Bands, or RSI/CCI/Williams %R proxy)</w:t>
      </w:r>
    </w:p>
    <w:p>
      <w:pPr>
        <w:spacing w:after="120"/>
      </w:pPr>
      <w:r>
        <w:t xml:space="preserve">Not independently pulled. Stock ranged ~Rs 39-106 over 52 weeks; hit a 20% upper circuit on the Jan 2025 NCLAT merger approval; fell hard into the Apr 2026 insolvency-surveillance news; the OP-side average buy prices quoted in-thread (Rs 54-78) are under water for some holders.</w:t>
      </w:r>
    </w:p>
    <w:p>
      <w:pPr>
        <w:pStyle w:val="Heading1"/>
        <w:spacing w:after="120" w:before="280"/>
      </w:pPr>
      <w:r>
        <w:t xml:space="preserve">ValuePickr Community Signal</w:t>
      </w:r>
    </w:p>
    <w:p>
      <w:pPr>
        <w:spacing w:after="120"/>
      </w:pPr>
      <w:r>
        <w:t xml:space="preserve">Read the most recent 50 of 222 posts, spanning Mar 2023 to Aug 2026. The bulk of the thread is a multi-year forensic account of the Embassy-IBREL merger litigation (NCLT Chandigarh halt in Mar 2023 over Income-Tax-flagged overvaluation, NCLAT approval Jan 2025, Supreme Court greenlight Feb 2025, final NCLAT order May 2026) - which is now resolved. The newer and more important development, from Dec 2025 onward: Canara Bank has approached the NCLT for insolvency resolution over a ~Rs 300 Cr guarantee that an erstwhile Indiabulls group company gave (defaulted 2017), and from April 2026 the exchanges placed EMBDL under an Additional Surveillance Mechanism where it trades only on the first trading day of each week, describing it as undergoing an Insolvency Resolution Process. Management (Aditya Virwani on CNBC) says EDL is financially strong and the matter is a contained legacy claim. Q3/Q4 FY26 updates show positive cash flow, asset monetisation (a ~Rs 1,125 Cr Whitefield land sub-lease/divestment to Lam Research) and inventory liquidation, but P&amp;L profitability is still 4-6 quarters out. The latest post (Aug 2026) picks apart the promoter warrant issue at Rs 111.51 vs a ~Rs 63 market price as circular (promoter repaying itself), not fixing operating cash burn or the Blackstone debt.</w:t>
      </w:r>
    </w:p>
    <w:p>
      <w:pPr>
        <w:spacing w:after="120"/>
      </w:pPr>
      <w:r>
        <w:rPr>
          <w:b/>
          <w:bCs/>
          <w:sz w:val="20"/>
          <w:szCs w:val="20"/>
        </w:rPr>
        <w:t xml:space="preserve">High-conviction call from a top contributor: </w:t>
      </w:r>
      <w:r>
        <w:rPr>
          <w:sz w:val="20"/>
          <w:szCs w:val="20"/>
        </w:rPr>
        <w:t xml:space="preserve">No roster/trusted users. Highest-loved posts are historical merger analysis by njain1983 (20-24 loves) - detailed and sceptical of the original valuation. antson_m is the most active recent tracker and remains a cautious holder ('continuing to hold', 'need to monitor the case closely'). No one in-thread is making a high-conviction buy call at current prices.</w:t>
      </w:r>
    </w:p>
    <w:p>
      <w:pPr>
        <w:pStyle w:val="Heading1"/>
        <w:spacing w:after="120" w:before="280"/>
      </w:pPr>
      <w:r>
        <w:t xml:space="preserve">BSE Corporate Actions / Other Red Flags</w:t>
      </w:r>
    </w:p>
    <w:p>
      <w:pPr>
        <w:spacing w:after="120"/>
      </w:pPr>
      <w:r>
        <w:t xml:space="preserve">Under exchange Additional Surveillance Mechanism from ~April 13, 2026 - trades only on the first trading day of each week - as an entity undergoing an Insolvency Resolution Process (Canara Bank petition, ~Rs 300 Cr legacy guarantee). Promoters pledged 6.31 crore shares (Apr 2025). ~Rs 1,000+ Cr raised via warrant conversions to Blackstone, Micro Labs and Embassy promoters at Rs 111 (2025). Unresolved ~Rs 700 Cr Blackstone debt at ~18%.</w:t>
      </w:r>
    </w:p>
    <w:p>
      <w:pPr>
        <w:pStyle w:val="Heading1"/>
        <w:spacing w:after="120" w:before="280"/>
      </w:pPr>
      <w:r>
        <w:t xml:space="preserve">Bull Case</w:t>
      </w:r>
    </w:p>
    <w:p>
      <w:pPr>
        <w:pStyle w:val="ListParagraph"/>
        <w:numPr>
          <w:ilvl w:val="0"/>
          <w:numId w:val="1"/>
        </w:numPr>
        <w:spacing w:after="60"/>
      </w:pPr>
      <w:r>
        <w:t xml:space="preserve">Embassy Group control since 2023 with a large premium land bank; project-level surpluses (e.g. Worli ~Rs 5,500 Cr) and unsold inventory quoted well above the current market cap</w:t>
      </w:r>
    </w:p>
    <w:p>
      <w:pPr>
        <w:pStyle w:val="ListParagraph"/>
        <w:numPr>
          <w:ilvl w:val="0"/>
          <w:numId w:val="1"/>
        </w:numPr>
        <w:spacing w:after="60"/>
      </w:pPr>
      <w:r>
        <w:t xml:space="preserve">Merger litigation that overhung the stock for 5 years is fully resolved (SC Feb 2025, final NCLAT order May 2026)</w:t>
      </w:r>
    </w:p>
    <w:p>
      <w:pPr>
        <w:pStyle w:val="ListParagraph"/>
        <w:numPr>
          <w:ilvl w:val="0"/>
          <w:numId w:val="1"/>
        </w:numPr>
        <w:spacing w:after="60"/>
      </w:pPr>
      <w:r>
        <w:t xml:space="preserve">Cash flow already positive; active asset monetisation (Rs 1,125 Cr Whitefield deal) and inventory liquidation; warrant conversions cutting high-cost promoter debt</w:t>
      </w:r>
    </w:p>
    <w:p>
      <w:pPr>
        <w:pStyle w:val="ListParagraph"/>
        <w:numPr>
          <w:ilvl w:val="0"/>
          <w:numId w:val="1"/>
        </w:numPr>
        <w:spacing w:after="60"/>
      </w:pPr>
      <w:r>
        <w:t xml:space="preserve">Strong-cycle Indian residential real estate backdrop</w:t>
      </w:r>
    </w:p>
    <w:p>
      <w:pPr>
        <w:pStyle w:val="Heading1"/>
        <w:spacing w:after="120" w:before="280"/>
      </w:pPr>
      <w:r>
        <w:t xml:space="preserve">Bear Case / Key Risks</w:t>
      </w:r>
    </w:p>
    <w:p>
      <w:pPr>
        <w:pStyle w:val="ListParagraph"/>
        <w:numPr>
          <w:ilvl w:val="0"/>
          <w:numId w:val="1"/>
        </w:numPr>
        <w:spacing w:after="60"/>
      </w:pPr>
      <w:r>
        <w:t xml:space="preserve">Undergoing an Insolvency Resolution Process (Canara Bank, ~Rs 300 Cr legacy guarantee) with the stock under weekly-only trading surveillance since Apr 2026 - a going-concern-adjacent overhang and a real risk that other old creditors file claims</w:t>
      </w:r>
    </w:p>
    <w:p>
      <w:pPr>
        <w:pStyle w:val="ListParagraph"/>
        <w:numPr>
          <w:ilvl w:val="0"/>
          <w:numId w:val="1"/>
        </w:numPr>
        <w:spacing w:after="60"/>
      </w:pPr>
      <w:r>
        <w:t xml:space="preserve">Negative ~7.2% three-year ROE, low interest coverage, P&amp;L profitability still 4-6 quarters away</w:t>
      </w:r>
    </w:p>
    <w:p>
      <w:pPr>
        <w:pStyle w:val="ListParagraph"/>
        <w:numPr>
          <w:ilvl w:val="0"/>
          <w:numId w:val="1"/>
        </w:numPr>
        <w:spacing w:after="60"/>
      </w:pPr>
      <w:r>
        <w:t xml:space="preserve">~Rs 700 Cr Blackstone debt at ~18% unresolved; promoter warrant issue is circular and does not address operating cash burn</w:t>
      </w:r>
    </w:p>
    <w:p>
      <w:pPr>
        <w:pStyle w:val="ListParagraph"/>
        <w:numPr>
          <w:ilvl w:val="0"/>
          <w:numId w:val="1"/>
        </w:numPr>
        <w:spacing w:after="60"/>
      </w:pPr>
      <w:r>
        <w:t xml:space="preserve">History of Income-Tax-flagged overvaluation in the original merger and a promoter pledge</w:t>
      </w:r>
    </w:p>
    <w:p>
      <w:pPr>
        <w:pStyle w:val="ListParagraph"/>
        <w:numPr>
          <w:ilvl w:val="0"/>
          <w:numId w:val="1"/>
        </w:numPr>
        <w:spacing w:after="60"/>
      </w:pPr>
      <w:r>
        <w:t xml:space="preserve">Real-estate NAV/land-bank stories are slow to monetise (one in-thread estimate: ~30 years to fully monetise the peak rent potential)</w:t>
      </w:r>
    </w:p>
    <w:p>
      <w:pPr>
        <w:pStyle w:val="Heading1"/>
        <w:spacing w:after="120" w:before="280"/>
      </w:pPr>
      <w:r>
        <w:t xml:space="preserve">Market-Cap Tier (informational — not a gate in this project)</w:t>
      </w:r>
    </w:p>
    <w:p>
      <w:pPr>
        <w:spacing w:after="120"/>
      </w:pPr>
      <w:r>
        <w:rPr>
          <w:b/>
          <w:bCs/>
        </w:rPr>
        <w:t xml:space="preserve">Small/Mid-cap (~Rs 8,644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genuine Embassy-backed turnaround narrative, but active insolvency proceedings, weekly-only trading and negative ROE make it a HIGH CAUTION filter-out, not a 10x candidate</w:t>
      </w:r>
    </w:p>
    <w:p>
      <w:pPr>
        <w:pStyle w:val="ListParagraph"/>
        <w:numPr>
          <w:ilvl w:val="0"/>
          <w:numId w:val="1"/>
        </w:numPr>
        <w:spacing w:after="60"/>
      </w:pPr>
      <w:r>
        <w:t xml:space="preserve">The quality gate fails outright (negative 3-year ROE, low interest coverage, pre-profitability) and there is no recent-quarter earnings inflection to invoke the trailing-average exception - only cash-flow-positive commentary and guidance</w:t>
      </w:r>
    </w:p>
    <w:p>
      <w:pPr>
        <w:pStyle w:val="ListParagraph"/>
        <w:numPr>
          <w:ilvl w:val="0"/>
          <w:numId w:val="1"/>
        </w:numPr>
        <w:spacing w:after="60"/>
      </w:pPr>
      <w:r>
        <w:t xml:space="preserve">An ongoing Insolvency Resolution Process with exchange surveillance restricting trading to one day a week is a HIGH CAUTION situation on going-concern uncertainty grounds, even though management frames the Canara claim as a contained legacy matter</w:t>
      </w:r>
    </w:p>
    <w:p>
      <w:pPr>
        <w:pStyle w:val="ListParagraph"/>
        <w:numPr>
          <w:ilvl w:val="0"/>
          <w:numId w:val="1"/>
        </w:numPr>
        <w:spacing w:after="60"/>
      </w:pPr>
      <w:r>
        <w:t xml:space="preserve">Not in the old 108-stock project. Re-check only if the Canara/NCLT matter is dismissed, surveillance is lifted, and the company posts a clean profitable quarter</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2026-08-29T08:22:51.978Z</dcterms:created>
  <dcterms:modified xsi:type="dcterms:W3CDTF">2026-08-29T08:22:51.979Z</dcterms:modified>
</cp:coreProperties>
</file>

<file path=docProps/custom.xml><?xml version="1.0" encoding="utf-8"?>
<Properties xmlns="http://schemas.openxmlformats.org/officeDocument/2006/custom-properties" xmlns:vt="http://schemas.openxmlformats.org/officeDocument/2006/docPropsVTypes"/>
</file>