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Ethos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luxury watch retailer with a real FTA-driven margin tailwind, but a trusted investor exited citing promoter credibility concerns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Ethos is India's largest luxury and premium watch retailer, holding ~13% share of retail sales in the premium/luxury segment and 35-40% of the exclusive luxury segment. It retails Swiss and other global watch brands through its own stores across India.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7,601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9.80% / 13.06% (3yr avg ROE weaker still, 9.38%)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1,612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 (D/E ~0)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2,809.90 - Rs 2,900.30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Returns are weak for the quality bar (ROE under 10%, 3yr average even lower) despite a debt-free balance sheet and a genuine structural catalyst: the India-EFTA FTA is stepping down the import duty on Swiss watches from 22% to zero over 7 years, a real annual margin tailwind confirmed by the community. Store count keeps growing (88th store opened by Jan 2026) but a trusted poster called recent expansion 'tepid' and largely carry-forward from the prior year's City of Time acquisition.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40 posts (#165-209, spanning Jan 2025 to Jul 2026) of the 209-post KDDL/Ethos thread. Activity was sparse through 2026 (only 3 posts all year), suggesting the community's attention has thinned even as the stock keeps getting mentioned in trusted users' own portfolio threads.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Zaki_Ahmad (Oct 2025) confirmed the FTA import-duty step-down (22% now, falling to zero over 7 years) as an ongoing structural margin gain, resolving an earlier GST-hike scare (rp6, Aug 2025) that never materialized. Samarth_Nagpal (Jan 2026) flagged reduced concall frequency (moved to half-yearly, then skipped a quarter) as an indifference-to-minority-shareholders signal. Marathondreams (trusted, elevated-tier) exited after holding 1.5 years, stating explicitly: 'Promoters have habit of talking big numbers but these are not backed by results... Silvercity/Favre Leuba fiasco is well discussed on this forum, where it seems management is playing games with minority investors.' Arjun_Gupta1 (Jul 2026, sole holding) countered with a structural-moat bull case: India's single-brand retail FDI rules bar Swiss majors (Rolex etc.) from opening D2C stores, leaving Ethos as the largest Indian-owned competitor with a decade-long runway before that changes.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2026-01-06 — Marathondreams (trusted, elevated-tier)</w:t>
      </w:r>
      <w:r>
        <w:rPr>
          <w:i/>
          <w:iCs/>
          <w:color w:val="666666"/>
          <w:sz w:val="18"/>
          <w:szCs w:val="18"/>
        </w:rPr>
        <w:t xml:space="preserve"> (KDDL / Ethos Watches company thread)</w:t>
      </w:r>
      <w:r>
        <w:rPr>
          <w:sz w:val="20"/>
          <w:szCs w:val="20"/>
        </w:rPr>
        <w:br/>
        <w:t xml:space="preserve">: Exited after holding 1.5 years, citing promoter credibility issues around a 'Silvercity/Favre Leuba fiasco' and reduced concall transparency -- directly at odds with joinjp2003's bullish mention.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dated language, posts #254 and #274 — joinjp2003 (trusted, elevated-tier)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Named Ethos a top concentrated holding with a specific thesis (INR/CHF stabilization, FTA kicker, &lt;30x FY27 EV/EBITDA); said he 'had thought of ramping up ETHOS quite a bit'. Floor not active (elevated, not core tier).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confirmed structural catalyst: FTA-driven Swiss watch import duty falling from 22% to zero over 7 years, a genuine multi-year margin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 with continued store expansion (88+ stores)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moat: India's single-brand retail FDI rules block Swiss manufacturers from D2C for the foreseeable future, leaving Ethos as the largest Indian consolidator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joinjp2003 (trusted, elevated) named it a top concentrated holding with a specific FTA/INR-CHF thesis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Weak returns (ROE under 10%, 3yr average weaker) despite a decade of scale -- quality gate is a genuine concern, not just a temporary dip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 investor (Marathondreams) exited after 1.5 years explicitly citing promoter credibility problems and an unresolved 'Silvercity/Favre Leuba fiasco'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Reduced concall cadence and 'tepid', largely carry-forward store expansion flagged independently by another engaged poster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Trusted-thread source (joinjp2003) is informational only -- floor not active, so conviction rests purely on the mixed picture above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7,601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regulatory tailwind and a defensible moat, undercut by weak returns and a trusted investor's own exit over promoter credibility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FTA import-duty catalyst is real, confirmed, and structural -- not speculative -- which is enough to keep this out of a flat 'neither' filter despite weak trailing ROE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two trusted-tier community members are in direct disagreement: one bullish on the position sizing, one who exited specifically citing promoter-credibility concerns -- this is a genuine, unresolved split, not a one-sided 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formal red flag (no negative net worth, no SEBI action), but the governance/transparency concerns are concrete enough to keep conviction low until concall cadence and the cited 'fiasco' are better understood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2026-08-23T08:08:01.926Z</dcterms:created>
  <dcterms:modified xsi:type="dcterms:W3CDTF">2026-08-23T08:08:01.932Z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