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Eveready Industries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slow, steady Dabur-promoter-led battery-brand turnaround -- real but modest improvement, not a 10x growth story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Eveready Industries is a century-old dry-cell battery, flashlight, and lighting manufacturer under the Eveready/Powercell/Uniross brands, now controlled by Dabur's Burman family (since a 2022 open-offer acquisition), undergoing a slow operational turnaround.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2,591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14% / 17.2% (also cited as ROE 10.07%/ROIC 10.39% per an alternate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5yr CAGR (~3.11%) but recent YoY improving (~8-9%)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0.75, being reduced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</w:t>
            </w:r>
          </w:p>
        </w:tc>
        <w:tc>
          <w:tcPr>
            <w:tcW w:type="dxa" w:w="5800"/>
          </w:tcPr>
          <w:p>
            <w:r>
              <w:t xml:space="preserve">Stock down ~11.96% over the trailing year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mature, low-growth consumer battery business (5yr revenue CAGR only ~3%) showing real but modest recent-quarter improvement -- Q1 FY27 EBITDA margins reached ~15% (up from historically single-digit levels) on cost discipline, a new Alkaline battery plant coming online, and a large one-off gain from divesting surplus Noida land.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41 of 44 fetched posts (2015-01 to 2026-08, essentially the thread's full history), single batch (first-time read). This is a slow, steady, well-documented turnaround under new promoters (Dabur's Burman family since 2022) rather than a growth story -- trusted user ranvir has tracked every quarter from FY24 through Q1 FY27 (Aug 2026), showing gradual, real margin improvement (EBITDA margins moving from single digits toward ~15% by Q1 FY27) alongside one-off catalysts: a KKR arbitration settlement (Jul 2025) and a large Rs 118 Cr exceptional gain from divesting surplus Noida land (Q4 FY26).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(trusted, elevated) has been the sole consistent tracker, delivering detailed quarterly concall summaries every quarter from FY24 through Q1 FY27 without exception -- a rare, high-quality longitudinal record showing steady (not dramatic) margin improvement. Malhar_Manek (trusted, elevated) gave the original 2022 promoter-change thesis write-up when the Burman family (Dabur) took control via open offer.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Credible, well-capitalized new promoter group (Dabur's Burman family) driving a multi-year operational clean-up since 2022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gradual margin improvement each quarter (EBITDA margins climbing toward ~15% by Q1 FY27 from single digits historically)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Non-recurring catalysts realized: KKR arbitration settled, surplus Noida land divested for a large exceptional gain, freeing balance sheet for further monetization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battery category is mature and low-growth (5yr revenue CAGR only ~3%), capping the ceiling for a 10x/2-3yr thesis regardless of margin execution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Improvement has been genuinely gradual (multiple years, still modest EBITDA margins) rather than a sharp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is down over the trailing year despite the turnaround narrative, suggesting the market has not yet rewarded the improvement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2,591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genuine, well-documented turnaround under credible new promoters, but a mature battery category caps the growth ceiling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(weak, ~3% 5yr CAGR) and recent (modest, single-digit-to-low-teens % improvement) trends are real but far from explosive, and the category itself (batteries/flashlights) does not offer a plausible path to 10x revenue or profit 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legitimate quality-turnaround watch (credible promoters, steady execution, one-off balance-sheet catalysts) but does not fit this project's growth-thesis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filtered out entirely given the genuine, consistently-tracked improvement, but assessed as thesis_fit neither rather than a 10x candidate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2026-08-26T18:11:43.616Z</dcterms:created>
  <dcterms:modified xsi:type="dcterms:W3CDTF">2026-08-26T18:11:43.617Z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