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Fairchem Organics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Specialty chemicals maker showing a real recent-quarter price-led recovery, but the community itself flags it may be fragile and China-dependent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Fairchem Organics manufactures specialty chemicals -- dimer acid, linoleic acid, mixed tocopherol concentrate, sterols concentrate -- used in nutraceuticals, paints, printing inks, detergents, and adhesives, with isostearic acid as a key higher-margin byproduct 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883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3.33% / 2.19% (very weak, though one source shows ROE 11.1% -- data inconsistent, reflects a rough recent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Annual revenue</w:t>
            </w:r>
          </w:p>
        </w:tc>
        <w:tc>
          <w:tcPr>
            <w:tcW w:type="dxa" w:w="5800"/>
          </w:tcPr>
          <w:p>
            <w:r>
              <w:t xml:space="preserve">Fell 14.5% to Rs 460 Cr in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(recent)</w:t>
            </w:r>
          </w:p>
        </w:tc>
        <w:tc>
          <w:tcPr>
            <w:tcW w:type="dxa" w:w="5800"/>
          </w:tcPr>
          <w:p>
            <w:r>
              <w:t xml:space="preserve">Revenue +34.4% YoY to Rs 176 Cr -- a real recent recovery, following a Q4 FY26 decline of -3.2%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0.10,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58.5x -- rich given weak trailing profitability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textbook weak-trailing/recent-inflection case: FY26 was genuinely poor (revenue down 14.5%, ROCE/ROE near zero), but Q1 FY27 shows a real 34.4% YoY revenue recovery. Community commentary (Aug 2026) attributes the recovery almost entirely to price realization as Chinese dumping eases, with volume growth of just 4% -- a fragile, externally-dependent recovery rather than a demand-driven one.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of a 285-post thread, but coverage is very sparse and dated in large stretches (2022-2024, then a gap to Nov-Dec 2025, then a further gap to Aug 2026) -- reflecting genuinely thin, inconsistent community attention.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elevated-tier, Nov 2024) documented a 'disaster' quarter with rising raw material costs, Chinese competition, a struggling key customer (Asian Paints), and a slower-than-guided isostearic acid ramp-up -- the low base this recovery is measured against. dark_hunter (Nov 2025) flagged a CFO retirement/transition as a governance watch-item. kiraank (Aug 14, 2026, 9 days before this scan) reported the Q1 FY27 recovery (~Rs 18 Cr operating profit vs Rs 22 Cr for all of FY26) driven by price realization as Chinese dumping recedes, projecting Rs 70-72 Cr operating profit if momentum holds, but flagged volume growth of only 4%. aditya14920251 (same day) pushed back hard: isostearic acid (the main current higher-margin product) is structurally a byproduct of dimer acid, which remains exposed to Chinese dumping dynamics -- disclosed having exited a prior position at a loss after identifying this dependency.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large recent-quarter recovery (Q1 FY27 revenue +34.4% YoY) following a real trough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 (D/E 0.10) provides balance-sheet flexibility through the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Chinese dumping continues to recede, price realization gains could compound further per the community's own extrapolation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recovery is price-led (volume growth just 4%), making it fragile and dependent on an external factor (Chinese dumping behavior) the company does not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documented a genuinely poor FY25/FY26 with multiple concurrent problems (RM costs, competition, weak key customer, slow product ramp)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credible community member flagged a structural dependency risk (isostearic acid as a dimer-acid byproduct) and disclosed exiting at a loss for exactly this reason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(58.5x P/E) despite still-weak trailing profitability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883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but fragile, price-led recovery that the community itself is actively split on -- unconfirmed and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recent-quarter inflection is real and specific (34.4% YoY revenue growth), satisfying the weak-trailing/strong-recent pattern this thesis is built to catch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this is one of the more skeptically-received recoveries reviewed this pass: a specific, credible community member disclosed exiting a prior position at a loss for the exact structural reason (Chinese-dumping-dependent byproduct economics) still in play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volume growth (4%) behind the recovery is a genuine fragility signal, not just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Low given the combination of real but externally-dependent recovery, rich valuation, and a specific, credible bear case from the community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2026-08-23T08:08:07.161Z</dcterms:created>
  <dcterms:modified xsi:type="dcterms:W3CDTF">2026-08-23T08:08:07.162Z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