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Globus Spirits Ltd</w:t>
      </w:r>
    </w:p>
    <w:p>
      <w:pPr>
        <w:pBdr>
          <w:bottom w:val="single" w:color="CCCCCC" w:sz="6" w:space="8"/>
        </w:pBdr>
        <w:spacing w:after="200"/>
      </w:pPr>
      <w:r>
        <w:rPr>
          <w:i/>
          <w:iCs/>
          <w:color w:val="666666"/>
          <w:sz w:val="22"/>
          <w:szCs w:val="22"/>
        </w:rPr>
        <w:t xml:space="preserve">Grain-based distiller pivoting from commodity ENA/ethanol toward branded premium consumer spirits (single malts, tequila, 'Millionaire Brands') — credible premiumisation optionality but low trailing ROE and an early-stage consumer transition</w:t>
      </w:r>
    </w:p>
    <w:p>
      <w:pPr>
        <w:pStyle w:val="Heading1"/>
        <w:spacing w:after="120" w:before="280"/>
      </w:pPr>
      <w:r>
        <w:t xml:space="preserve">Business Overview</w:t>
      </w:r>
    </w:p>
    <w:p>
      <w:pPr>
        <w:spacing w:after="120"/>
      </w:pPr>
      <w:r>
        <w:t xml:space="preserve">Two engines: (1) bulk ENA / ethanol / IMIL — commodity, cyclical on grain prices and OMC offtake; (2) a growing branded consumer portfolio (22 brands incl. 3 'Millionaire Brands', Doaab single malt, newly launched tequila). 'Vision 2029' targets a shift from regional commodity producer to national consumer supplier; UP distillery commissioned; Rs 200 Cr QIP raised Aug-2026.</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2,864 Cr</w:t>
            </w:r>
          </w:p>
        </w:tc>
      </w:tr>
      <w:tr>
        <w:tc>
          <w:tcPr>
            <w:tcW w:type="dxa" w:w="3200"/>
            <w:shd w:fill="F2F2F2" w:val="clear"/>
          </w:tcPr>
          <w:p>
            <w:r>
              <w:rPr>
                <w:b/>
                <w:bCs/>
              </w:rPr>
              <w:t xml:space="preserve">Revenue (FY26)</w:t>
            </w:r>
          </w:p>
        </w:tc>
        <w:tc>
          <w:tcPr>
            <w:tcW w:type="dxa" w:w="5800"/>
          </w:tcPr>
          <w:p>
            <w:r>
              <w:t xml:space="preserve">~Rs 2,708 Cr</w:t>
            </w:r>
          </w:p>
        </w:tc>
      </w:tr>
      <w:tr>
        <w:tc>
          <w:tcPr>
            <w:tcW w:type="dxa" w:w="3200"/>
            <w:shd w:fill="F2F2F2" w:val="clear"/>
          </w:tcPr>
          <w:p>
            <w:r>
              <w:rPr>
                <w:b/>
                <w:bCs/>
              </w:rPr>
              <w:t xml:space="preserve">PAT (FY26)</w:t>
            </w:r>
          </w:p>
        </w:tc>
        <w:tc>
          <w:tcPr>
            <w:tcW w:type="dxa" w:w="5800"/>
          </w:tcPr>
          <w:p>
            <w:r>
              <w:t xml:space="preserve">~Rs 95 Cr</w:t>
            </w:r>
          </w:p>
        </w:tc>
      </w:tr>
      <w:tr>
        <w:tc>
          <w:tcPr>
            <w:tcW w:type="dxa" w:w="3200"/>
            <w:shd w:fill="F2F2F2" w:val="clear"/>
          </w:tcPr>
          <w:p>
            <w:r>
              <w:rPr>
                <w:b/>
                <w:bCs/>
              </w:rPr>
              <w:t xml:space="preserve">ROE (3-yr)</w:t>
            </w:r>
          </w:p>
        </w:tc>
        <w:tc>
          <w:tcPr>
            <w:tcW w:type="dxa" w:w="5800"/>
          </w:tcPr>
          <w:p>
            <w:r>
              <w:t xml:space="preserve">~7.2% (low — commodity mix)</w:t>
            </w:r>
          </w:p>
        </w:tc>
      </w:tr>
      <w:tr>
        <w:tc>
          <w:tcPr>
            <w:tcW w:type="dxa" w:w="3200"/>
            <w:shd w:fill="F2F2F2" w:val="clear"/>
          </w:tcPr>
          <w:p>
            <w:r>
              <w:rPr>
                <w:b/>
                <w:bCs/>
              </w:rPr>
              <w:t xml:space="preserve">Revenue growth</w:t>
            </w:r>
          </w:p>
        </w:tc>
        <w:tc>
          <w:tcPr>
            <w:tcW w:type="dxa" w:w="5800"/>
          </w:tcPr>
          <w:p>
            <w:r>
              <w:t xml:space="preserve">~5% FY25 (below ~17% 5-yr CAGR)</w:t>
            </w:r>
          </w:p>
        </w:tc>
      </w:tr>
      <w:tr>
        <w:tc>
          <w:tcPr>
            <w:tcW w:type="dxa" w:w="3200"/>
            <w:shd w:fill="F2F2F2" w:val="clear"/>
          </w:tcPr>
          <w:p>
            <w:r>
              <w:rPr>
                <w:b/>
                <w:bCs/>
              </w:rPr>
              <w:t xml:space="preserve">52-week range</w:t>
            </w:r>
          </w:p>
        </w:tc>
        <w:tc>
          <w:tcPr>
            <w:tcW w:type="dxa" w:w="5800"/>
          </w:tcPr>
          <w:p>
            <w:r>
              <w:t xml:space="preserve">Rs 800 – Rs 1,303</w:t>
            </w:r>
          </w:p>
        </w:tc>
      </w:tr>
      <w:tr>
        <w:tc>
          <w:tcPr>
            <w:tcW w:type="dxa" w:w="3200"/>
            <w:shd w:fill="F2F2F2" w:val="clear"/>
          </w:tcPr>
          <w:p>
            <w:r>
              <w:rPr>
                <w:b/>
                <w:bCs/>
              </w:rPr>
              <w:t xml:space="preserve">Balance sheet</w:t>
            </w:r>
          </w:p>
        </w:tc>
        <w:tc>
          <w:tcPr>
            <w:tcW w:type="dxa" w:w="5800"/>
          </w:tcPr>
          <w:p>
            <w:r>
              <w:t xml:space="preserve">Strong; Rs 200 Cr QIP (Aug-2026)</w:t>
            </w:r>
          </w:p>
        </w:tc>
      </w:tr>
    </w:tbl>
    <w:p>
      <w:pPr>
        <w:spacing w:after="100"/>
      </w:pPr>
    </w:p>
    <w:p>
      <w:pPr>
        <w:spacing w:after="120"/>
      </w:pPr>
      <w:r>
        <w:t xml:space="preserve">Returns are held down by the commodity ENA/ethanol base (ROE ~7%), and FY25 growth was soft. The investment case rests on mix-shift: premium launches are landing (Doaab single malt won gold at the Asia Spirits Ratings, beating Indri and Godawan), the UP market (MGQ quota system) is a new distribution unlock, and the QIP funds capacity for the consumer push. But the transformation is still a multi-year 'vision', not yet visible in blended margins.</w:t>
      </w:r>
    </w:p>
    <w:p>
      <w:pPr>
        <w:pStyle w:val="Heading1"/>
        <w:spacing w:after="120" w:before="280"/>
      </w:pPr>
      <w:r>
        <w:t xml:space="preserve">Technical Read (Weekly / Monthly MACD + Bollinger Bands, or RSI/CCI/Williams %R proxy)</w:t>
      </w:r>
    </w:p>
    <w:p>
      <w:pPr>
        <w:spacing w:after="120"/>
      </w:pPr>
      <w:r>
        <w:t xml:space="preserve">Not pulled.</w:t>
      </w:r>
    </w:p>
    <w:p>
      <w:pPr>
        <w:pStyle w:val="Heading1"/>
        <w:spacing w:after="120" w:before="280"/>
      </w:pPr>
      <w:r>
        <w:t xml:space="preserve">ValuePickr Community Signal</w:t>
      </w:r>
    </w:p>
    <w:p>
      <w:pPr>
        <w:spacing w:after="120"/>
      </w:pPr>
      <w:r>
        <w:t xml:space="preserve">Read the most recent ~15 of ~247 posts (topic 387), 2025–Aug 2026. Threads on premiumisation, exports, UP distillery commissioning, tequila launch pricing, Dolat Capital initiating coverage, and the Rs 200 Cr QIP. karanshah137 (elevated) called Q3 FY26 numbers 'excellent' (Jan-2026). Overall tone constructive on the consumer pivot, with realism that UP execution is the swing factor.</w:t>
      </w:r>
    </w:p>
    <w:p>
      <w:pPr>
        <w:spacing w:after="120"/>
      </w:pPr>
      <w:r>
        <w:rPr>
          <w:b/>
          <w:bCs/>
          <w:sz w:val="20"/>
          <w:szCs w:val="20"/>
        </w:rPr>
        <w:t xml:space="preserve">High-conviction call from a top contributor: </w:t>
      </w:r>
      <w:r>
        <w:rPr>
          <w:sz w:val="20"/>
          <w:szCs w:val="20"/>
        </w:rPr>
        <w:t xml:space="preserve">karanshah137 (elevated trusted user) — positive on Q3 FY26 results (09-Jan-2026, 8 loves). Logged as a trusted signal; not a formal 10x call.</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2026-01-09 — karanshah137</w:t>
      </w:r>
      <w:r>
        <w:rPr>
          <w:i/>
          <w:iCs/>
          <w:color w:val="666666"/>
          <w:sz w:val="18"/>
          <w:szCs w:val="18"/>
        </w:rPr>
        <w:t xml:space="preserve"> (Globus Spirits)</w:t>
      </w:r>
      <w:r>
        <w:rPr>
          <w:sz w:val="20"/>
          <w:szCs w:val="20"/>
        </w:rPr>
        <w:br/>
        <w:t xml:space="preserve">: Called Q3 FY26 numbers 'Excellent' (8 loves). Constructive on premiumisation trajectory. Not a formal 10x conviction call; informational positive signal.</w:t>
      </w:r>
    </w:p>
    <w:p>
      <w:pPr>
        <w:pStyle w:val="Heading1"/>
        <w:spacing w:after="120" w:before="280"/>
      </w:pPr>
      <w:r>
        <w:t xml:space="preserve">BSE Corporate Actions / Other Red Flags</w:t>
      </w:r>
    </w:p>
    <w:p>
      <w:pPr>
        <w:spacing w:after="120"/>
      </w:pPr>
      <w:r>
        <w:t xml:space="preserve">Not independently checked. Rs 200 Cr QIP completed Aug-2026 (dilution, growth-funding). No red flags.</w:t>
      </w:r>
    </w:p>
    <w:p>
      <w:pPr>
        <w:pStyle w:val="Heading1"/>
        <w:spacing w:after="120" w:before="280"/>
      </w:pPr>
      <w:r>
        <w:t xml:space="preserve">Bull Case</w:t>
      </w:r>
    </w:p>
    <w:p>
      <w:pPr>
        <w:pStyle w:val="ListParagraph"/>
        <w:numPr>
          <w:ilvl w:val="0"/>
          <w:numId w:val="1"/>
        </w:numPr>
        <w:spacing w:after="60"/>
      </w:pPr>
      <w:r>
        <w:t xml:space="preserve">Premium portfolio gaining external validation (Doaab gold medal vs Indri/Godawan); 22 brands incl. luxury tier</w:t>
      </w:r>
    </w:p>
    <w:p>
      <w:pPr>
        <w:pStyle w:val="ListParagraph"/>
        <w:numPr>
          <w:ilvl w:val="0"/>
          <w:numId w:val="1"/>
        </w:numPr>
        <w:spacing w:after="60"/>
      </w:pPr>
      <w:r>
        <w:t xml:space="preserve">UP distillery + MGQ market entry is a concrete new distribution lever</w:t>
      </w:r>
    </w:p>
    <w:p>
      <w:pPr>
        <w:pStyle w:val="ListParagraph"/>
        <w:numPr>
          <w:ilvl w:val="0"/>
          <w:numId w:val="1"/>
        </w:numPr>
        <w:spacing w:after="60"/>
      </w:pPr>
      <w:r>
        <w:t xml:space="preserve">Rs 200 Cr QIP-funded capacity for the consumer pivot; ethanol blending tailwind on the commodity side</w:t>
      </w:r>
    </w:p>
    <w:p>
      <w:pPr>
        <w:pStyle w:val="ListParagraph"/>
        <w:numPr>
          <w:ilvl w:val="0"/>
          <w:numId w:val="1"/>
        </w:numPr>
        <w:spacing w:after="60"/>
      </w:pPr>
      <w:r>
        <w:t xml:space="preserve">Elevated-user (karanshah137) flagged an 'excellent' Q3 FY26</w:t>
      </w:r>
    </w:p>
    <w:p>
      <w:pPr>
        <w:pStyle w:val="Heading1"/>
        <w:spacing w:after="120" w:before="280"/>
      </w:pPr>
      <w:r>
        <w:t xml:space="preserve">Bear Case / Key Risks</w:t>
      </w:r>
    </w:p>
    <w:p>
      <w:pPr>
        <w:pStyle w:val="ListParagraph"/>
        <w:numPr>
          <w:ilvl w:val="0"/>
          <w:numId w:val="1"/>
        </w:numPr>
        <w:spacing w:after="60"/>
      </w:pPr>
      <w:r>
        <w:t xml:space="preserve">3-yr ROE ~7%; commodity ENA/ethanol still dominates the mix and the earnings cyclicality</w:t>
      </w:r>
    </w:p>
    <w:p>
      <w:pPr>
        <w:pStyle w:val="ListParagraph"/>
        <w:numPr>
          <w:ilvl w:val="0"/>
          <w:numId w:val="1"/>
        </w:numPr>
        <w:spacing w:after="60"/>
      </w:pPr>
      <w:r>
        <w:t xml:space="preserve">FY25 revenue growth only ~5%; the consumer transformation is a multi-year 'vision' not yet in the numbers</w:t>
      </w:r>
    </w:p>
    <w:p>
      <w:pPr>
        <w:pStyle w:val="ListParagraph"/>
        <w:numPr>
          <w:ilvl w:val="0"/>
          <w:numId w:val="1"/>
        </w:numPr>
        <w:spacing w:after="60"/>
      </w:pPr>
      <w:r>
        <w:t xml:space="preserve">Grain-price and OMC-offtake swings can overwhelm the branded progress in any given year</w:t>
      </w:r>
    </w:p>
    <w:p>
      <w:pPr>
        <w:pStyle w:val="ListParagraph"/>
        <w:numPr>
          <w:ilvl w:val="0"/>
          <w:numId w:val="1"/>
        </w:numPr>
        <w:spacing w:after="60"/>
      </w:pPr>
      <w:r>
        <w:t xml:space="preserve">At ~Rs 2,864 Cr / ~Rs 95 Cr PAT, a 10x in 2–3 years needs a step-change in both volume and margin</w:t>
      </w:r>
    </w:p>
    <w:p>
      <w:pPr>
        <w:pStyle w:val="Heading1"/>
        <w:spacing w:after="120" w:before="280"/>
      </w:pPr>
      <w:r>
        <w:t xml:space="preserve">Market-Cap Tier (informational — not a gate in this project)</w:t>
      </w:r>
    </w:p>
    <w:p>
      <w:pPr>
        <w:spacing w:after="120"/>
      </w:pPr>
      <w:r>
        <w:rPr>
          <w:b/>
          <w:bCs/>
        </w:rPr>
        <w:t xml:space="preserve">Small/Mid-cap (~Rs 2,864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Real premiumisation optionality and an elevated-user nod, but low trailing returns and an early consumer transition keep it at 'neither' for now</w:t>
      </w:r>
    </w:p>
    <w:p>
      <w:pPr>
        <w:pStyle w:val="ListParagraph"/>
        <w:numPr>
          <w:ilvl w:val="0"/>
          <w:numId w:val="1"/>
        </w:numPr>
        <w:spacing w:after="60"/>
      </w:pPr>
      <w:r>
        <w:t xml:space="preserve">The consumer pivot is credible and progressing, but blended ROE (~7%) and slow FY25 growth mean the 10x math isn't there yet</w:t>
      </w:r>
    </w:p>
    <w:p>
      <w:pPr>
        <w:pStyle w:val="ListParagraph"/>
        <w:numPr>
          <w:ilvl w:val="0"/>
          <w:numId w:val="1"/>
        </w:numPr>
        <w:spacing w:after="60"/>
      </w:pPr>
      <w:r>
        <w:t xml:space="preserve">Conviction lifted to Medium (not Low) by karanshah137's positive Q3 FY26 read and the QIP-funded expansion</w:t>
      </w:r>
    </w:p>
    <w:p>
      <w:pPr>
        <w:pStyle w:val="ListParagraph"/>
        <w:numPr>
          <w:ilvl w:val="0"/>
          <w:numId w:val="1"/>
        </w:numPr>
        <w:spacing w:after="60"/>
      </w:pPr>
      <w:r>
        <w:t xml:space="preserve">Revisit if 2–3 quarters show branded mix and consolidated margins genuinely inflecting, especially on UP ramp</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2026-08-30T06:24:39.974Z</dcterms:created>
  <dcterms:modified xsi:type="dcterms:W3CDTF">2026-08-30T06:24:39.975Z</dcterms:modified>
</cp:coreProperties>
</file>

<file path=docProps/custom.xml><?xml version="1.0" encoding="utf-8"?>
<Properties xmlns="http://schemas.openxmlformats.org/officeDocument/2006/custom-properties" xmlns:vt="http://schemas.openxmlformats.org/officeDocument/2006/docPropsVTypes"/>
</file>