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Gokul Agro Resources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Large, fast-growing edible-oil processor with strong ROCE/ROE, but a thin/stale community thread and a low-multiple commodity business model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Gokul Agro manufactures and processes edible and non-edible oils and meals across a 40+ product portfolio, including a biodiesel capex announced in 2024.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7,165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36.7% / 30.0%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17.0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~23% (3yr EPS CAGR ~40%)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150 - 258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strong current-period returns and growth for an edible-oils processor, but this is a low-margin (historically ~1% NPM per a 2024 community post), high-revenue commodity trading/refining business -- the kind that rarely sustains a re-rating multiple even when operationally excellent.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entire dedicated thread (17 posts spanning 2021-2026, no escalation needed). The thread is old and largely stale: detailed thesis/anti-thesis discussion in 2021-2024 (promoter buying, efficient working capital, thin OPM margins, high ~20% interest cost queried without resolution), then near-silence until a single Apr 2026 post noting price action looks poised for a breakout on rising oil prices. No trusted-roster user has posted in this specific thread.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 posted in this thread. A 2024 post flagged the company was running at just 1% net profit margin on Rs 14,000 Cr sales against a then Rs 2,000 Cr market cap -- underscoring how thin margins are even when scale is large.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current ROCE (36.7%) / ROE (30%) and healthy 3yr EPS growth (~40% CAGR)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Biodiesel capex (announced 2024) is a logical adjacency given the company already produces feedstock in-house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 52-week-high price action per community and news coverage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Historically thin net margins (~1% NPM on Rs 14,000 Cr sales per 2024 community estimate) -- an edible-oil trading/refining commodity business, not a franchise with pricing power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a Rs 7,165 Cr market cap -- per this project's own thesis, bigger positions need a sharper, specific catalyst, and none was found beyond generic 'oil price' commentary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Community thread is thin and largely stale (2021-2024, one 2026 post) -- not enough independent scrutiny to corroborate the current fundamentals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interest cost (~20% per a 2024 community query) was never satisfactorily explained in-thread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7,165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Operationally strong commodity processor, but no sharp catalyst and a stale thread at a size that needs 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Current-period ROCE/ROE and growth are genuinely strong, but this is a structurally thin-margin commodity business, and margin durability is unverified in a stale community thread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Rs 7,165 Cr market cap, the thesis requires a sharper catalyst than 'oil prices moved' -- none found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2026-08-23T15:14:47.791Z</dcterms:created>
  <dcterms:modified xsi:type="dcterms:W3CDTF">2026-08-23T15:14:47.792Z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