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Goodluck India Ltd</w:t>
      </w:r>
    </w:p>
    <w:p>
      <w:pPr>
        <w:pBdr>
          <w:bottom w:val="single" w:color="CCCCCC" w:sz="6" w:space="8"/>
        </w:pBdr>
        <w:spacing w:after="200"/>
      </w:pPr>
      <w:r>
        <w:rPr>
          <w:i/>
          <w:iCs/>
          <w:color w:val="666666"/>
          <w:sz w:val="22"/>
          <w:szCs w:val="22"/>
        </w:rPr>
        <w:t xml:space="preserve">Legacy low-margin steel/engineering business pivoting into high-margin defense manufacturing, clouded by subsidiary governance uncertainty</w:t>
      </w:r>
    </w:p>
    <w:p>
      <w:pPr>
        <w:pStyle w:val="Heading1"/>
        <w:spacing w:after="120" w:before="280"/>
      </w:pPr>
      <w:r>
        <w:t xml:space="preserve">Business Overview</w:t>
      </w:r>
    </w:p>
    <w:p>
      <w:pPr>
        <w:spacing w:after="120"/>
      </w:pPr>
      <w:r>
        <w:t xml:space="preserve">Goodluck India is a diversified engineering conglomerate (steel tubes, pipes, forgings, fabricated structures) that has entered defense manufacturing through subsidiary Goodluck Defence &amp; Aerospace, producing 155mm artillery shells under an Arms Act industrial license, with recent export certification and order wins.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4,553 Cr</w:t>
            </w:r>
          </w:p>
        </w:tc>
      </w:tr>
      <w:tr>
        <w:tc>
          <w:tcPr>
            <w:tcW w:type="dxa" w:w="3200"/>
            <w:shd w:fill="F2F2F2" w:val="clear"/>
          </w:tcPr>
          <w:p>
            <w:r>
              <w:rPr>
                <w:b/>
                <w:bCs/>
              </w:rPr>
              <w:t xml:space="preserve">ROE</w:t>
            </w:r>
          </w:p>
        </w:tc>
        <w:tc>
          <w:tcPr>
            <w:tcW w:type="dxa" w:w="5800"/>
          </w:tcPr>
          <w:p>
            <w:r>
              <w:t xml:space="preserve">12.9%</w:t>
            </w:r>
          </w:p>
        </w:tc>
      </w:tr>
      <w:tr>
        <w:tc>
          <w:tcPr>
            <w:tcW w:type="dxa" w:w="3200"/>
            <w:shd w:fill="F2F2F2" w:val="clear"/>
          </w:tcPr>
          <w:p>
            <w:r>
              <w:rPr>
                <w:b/>
                <w:bCs/>
              </w:rPr>
              <w:t xml:space="preserve">ROCE</w:t>
            </w:r>
          </w:p>
        </w:tc>
        <w:tc>
          <w:tcPr>
            <w:tcW w:type="dxa" w:w="5800"/>
          </w:tcPr>
          <w:p>
            <w:r>
              <w:t xml:space="preserve">14.4%</w:t>
            </w:r>
          </w:p>
        </w:tc>
      </w:tr>
      <w:tr>
        <w:tc>
          <w:tcPr>
            <w:tcW w:type="dxa" w:w="3200"/>
            <w:shd w:fill="F2F2F2" w:val="clear"/>
          </w:tcPr>
          <w:p>
            <w:r>
              <w:rPr>
                <w:b/>
                <w:bCs/>
              </w:rPr>
              <w:t xml:space="preserve">Debt</w:t>
            </w:r>
          </w:p>
        </w:tc>
        <w:tc>
          <w:tcPr>
            <w:tcW w:type="dxa" w:w="5800"/>
          </w:tcPr>
          <w:p>
            <w:r>
              <w:t xml:space="preserve">D/E 0.68, moderate</w:t>
            </w:r>
          </w:p>
        </w:tc>
      </w:tr>
      <w:tr>
        <w:tc>
          <w:tcPr>
            <w:tcW w:type="dxa" w:w="3200"/>
            <w:shd w:fill="F2F2F2" w:val="clear"/>
          </w:tcPr>
          <w:p>
            <w:r>
              <w:rPr>
                <w:b/>
                <w:bCs/>
              </w:rPr>
              <w:t xml:space="preserve">Revenue growth</w:t>
            </w:r>
          </w:p>
        </w:tc>
        <w:tc>
          <w:tcPr>
            <w:tcW w:type="dxa" w:w="5800"/>
          </w:tcPr>
          <w:p>
            <w:r>
              <w:t xml:space="preserve">Decelerating: 5yr CAGR 19.2%, 3yr 14.63%, 1yr 11.66%; Q2 FY26 revenue +2% YoY but EBITDA +30% YoY on margin mix shift; Q1 FY27 export revenue +53% YoY (29% of total revenue)</w:t>
            </w:r>
          </w:p>
        </w:tc>
      </w:tr>
      <w:tr>
        <w:tc>
          <w:tcPr>
            <w:tcW w:type="dxa" w:w="3200"/>
            <w:shd w:fill="F2F2F2" w:val="clear"/>
          </w:tcPr>
          <w:p>
            <w:r>
              <w:rPr>
                <w:b/>
                <w:bCs/>
              </w:rPr>
              <w:t xml:space="preserve">52-week range</w:t>
            </w:r>
          </w:p>
        </w:tc>
        <w:tc>
          <w:tcPr>
            <w:tcW w:type="dxa" w:w="5800"/>
          </w:tcPr>
          <w:p>
            <w:r>
              <w:t xml:space="preserve">Rs 915 - 1,475.80</w:t>
            </w:r>
          </w:p>
        </w:tc>
      </w:tr>
    </w:tbl>
    <w:p>
      <w:pPr>
        <w:spacing w:after="100"/>
      </w:pPr>
    </w:p>
    <w:p>
      <w:pPr>
        <w:spacing w:after="120"/>
      </w:pPr>
      <w:r>
        <w:t xml:space="preserve">The base steel/engineering business has decelerating, moderate-quality metrics (ROCE 14.4%, ROE 12.9%, slowing revenue CAGR) and has historically struggled with cash conversion given elongated working-capital cycles and low asset turns (16-18% EBITDA margins). The real recent-quarter signal is the Defence &amp; Aerospace subsidiary: 155mm artillery shell manufacturing is running at 30-35% EBITDA margins (roughly double the base business), export certification was received with a first USD 6mn overseas dispatch (likely NATO-adjacent per community cross-referencing with peer orders at Balu Forge/Sunita Tools), and capacity is being expanded from 150,000 to 400,000 shells within a year (~Rs 500 Cr investment).</w:t>
      </w:r>
    </w:p>
    <w:p>
      <w:pPr>
        <w:pStyle w:val="Heading1"/>
        <w:spacing w:after="120" w:before="280"/>
      </w:pPr>
      <w:r>
        <w:t xml:space="preserve">Technical Read (Weekly / Monthly MACD + Bollinger Bands, or RSI/CCI/Williams %R proxy)</w:t>
      </w:r>
    </w:p>
    <w:p>
      <w:pPr>
        <w:spacing w:after="120"/>
      </w:pPr>
      <w:r>
        <w:t xml:space="preserve">Not checked -- the defense-subsidiary margin-mix catalyst and its governance overhang were the decisive factors.</w:t>
      </w:r>
    </w:p>
    <w:p>
      <w:pPr>
        <w:pStyle w:val="Heading1"/>
        <w:spacing w:after="120" w:before="280"/>
      </w:pPr>
      <w:r>
        <w:t xml:space="preserve">ValuePickr Community Signal</w:t>
      </w:r>
    </w:p>
    <w:p>
      <w:pPr>
        <w:spacing w:after="120"/>
      </w:pPr>
      <w:r>
        <w:t xml:space="preserve">Read the most recent 25 of 117 posts (thread spans years; recent activity concentrated on the defense pivot). richbandit (trusted, elevated, up to 20 loves) is the clearest voice, explicitly framing the company as 'now at an inflection point' given the defense margin differential. However, the most recent posts (Aug 2026) show real investor frustration: management was 'grilled' in the concall over unclear capital-restructuring/IPO plans for the Defence subsidiary, giving only a vague response that 'advisors had recommended' the approach without disclosing specifics.</w:t>
      </w:r>
    </w:p>
    <w:p>
      <w:pPr>
        <w:spacing w:after="120"/>
      </w:pPr>
      <w:r>
        <w:rPr>
          <w:b/>
          <w:bCs/>
          <w:sz w:val="20"/>
          <w:szCs w:val="20"/>
        </w:rPr>
        <w:t xml:space="preserve">High-conviction call from a top contributor: </w:t>
      </w:r>
      <w:r>
        <w:rPr>
          <w:sz w:val="20"/>
          <w:szCs w:val="20"/>
        </w:rPr>
        <w:t xml:space="preserve">Multiple trusted (elevated) users tracked this closely and favorably on operating performance (richbandit, BuyRightSitTight, ranvir, pranavpallod12, Midhunjoe), but two of the most recent trusted posts (pranavpallod12, Shripad) explicitly flag the same governance concern: Q1 FY27 operating performance was 'perfection' but management's handling of the Defence subsidiary's capital structure/dilution has 'clouded sentiment,' with a Rs 275 Cr corporate guarantee issued for the subsidiary ahead of undisclosed restructuring details.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2026-08-18 — undefined</w:t>
      </w:r>
      <w:r>
        <w:rPr>
          <w:i/>
          <w:iCs/>
          <w:color w:val="666666"/>
          <w:sz w:val="18"/>
          <w:szCs w:val="18"/>
        </w:rPr>
        <w:t xml:space="preserve"/>
      </w:r>
      <w:r>
        <w:rPr>
          <w:sz w:val="20"/>
          <w:szCs w:val="20"/>
        </w:rPr>
        <w:br/>
        <w:t xml:space="preserve">: Q1 FY27 operating performance was excellent, but management's capital decisions around the Defence subsidiary have 'clouded sentiment'; hopeful shareholder grilling in the concall improves things going forward.</w:t>
      </w:r>
    </w:p>
    <w:p>
      <w:pPr>
        <w:spacing w:after="100"/>
      </w:pPr>
      <w:r>
        <w:rPr>
          <w:b/>
          <w:bCs/>
          <w:sz w:val="20"/>
          <w:szCs w:val="20"/>
        </w:rPr>
        <w:t xml:space="preserve">2026-07-09 — undefined</w:t>
      </w:r>
      <w:r>
        <w:rPr>
          <w:i/>
          <w:iCs/>
          <w:color w:val="666666"/>
          <w:sz w:val="18"/>
          <w:szCs w:val="18"/>
        </w:rPr>
        <w:t xml:space="preserve"/>
      </w:r>
      <w:r>
        <w:rPr>
          <w:sz w:val="20"/>
          <w:szCs w:val="20"/>
        </w:rPr>
        <w:br/>
        <w:t xml:space="preserve">: Explicitly frames Goodluck as 'now at an inflection point' given Defence segment margins of 30-35% vs. 16-18% in the legacy low-asset-turn business.</w:t>
      </w:r>
    </w:p>
    <w:p>
      <w:pPr>
        <w:pStyle w:val="Heading1"/>
        <w:spacing w:after="120" w:before="280"/>
      </w:pPr>
      <w:r>
        <w:t xml:space="preserve">BSE Corporate Actions / Other Red Flags</w:t>
      </w:r>
    </w:p>
    <w:p>
      <w:pPr>
        <w:spacing w:after="120"/>
      </w:pPr>
      <w:r>
        <w:t xml:space="preserve">2:1 bonus proposed (Jul 2026); Rs 275 Cr corporate guarantee issued for Goodluck Defence subsidiary without disclosed restructuring details.</w:t>
      </w:r>
    </w:p>
    <w:p>
      <w:pPr>
        <w:pStyle w:val="Heading1"/>
        <w:spacing w:after="120" w:before="280"/>
      </w:pPr>
      <w:r>
        <w:t xml:space="preserve">Bull Case</w:t>
      </w:r>
    </w:p>
    <w:p>
      <w:pPr>
        <w:pStyle w:val="ListParagraph"/>
        <w:numPr>
          <w:ilvl w:val="0"/>
          <w:numId w:val="1"/>
        </w:numPr>
        <w:spacing w:after="60"/>
      </w:pPr>
      <w:r>
        <w:t xml:space="preserve">Genuine, specific margin-mix inflection: defense (155mm artillery shells) running at ~2x the EBITDA margin of the legacy business, with real export certification, a first overseas dispatch, and capacity being nearly tripled (150k to 400k shells)</w:t>
      </w:r>
    </w:p>
    <w:p>
      <w:pPr>
        <w:pStyle w:val="ListParagraph"/>
        <w:numPr>
          <w:ilvl w:val="0"/>
          <w:numId w:val="1"/>
        </w:numPr>
        <w:spacing w:after="60"/>
      </w:pPr>
      <w:r>
        <w:t xml:space="preserve">Multiple trusted users tracking closely with favorable operating assessments; export revenue growing 53% YoY and now ~29% of total revenue</w:t>
      </w:r>
    </w:p>
    <w:p>
      <w:pPr>
        <w:pStyle w:val="Heading1"/>
        <w:spacing w:after="120" w:before="280"/>
      </w:pPr>
      <w:r>
        <w:t xml:space="preserve">Bear Case / Key Risks</w:t>
      </w:r>
    </w:p>
    <w:p>
      <w:pPr>
        <w:pStyle w:val="ListParagraph"/>
        <w:numPr>
          <w:ilvl w:val="0"/>
          <w:numId w:val="1"/>
        </w:numPr>
        <w:spacing w:after="60"/>
      </w:pPr>
      <w:r>
        <w:t xml:space="preserve">Real, current governance/capital-allocation uncertainty: management has been vague and evasive about the Defence subsidiary's IPO/restructuring plans despite a large (Rs 275 Cr) corporate guarantee already issued, and was directly 'grilled' by investors over this in the most recent concall</w:t>
      </w:r>
    </w:p>
    <w:p>
      <w:pPr>
        <w:pStyle w:val="ListParagraph"/>
        <w:numPr>
          <w:ilvl w:val="0"/>
          <w:numId w:val="1"/>
        </w:numPr>
        <w:spacing w:after="60"/>
      </w:pPr>
      <w:r>
        <w:t xml:space="preserve">The base steel/engineering business has decelerating growth and structurally poor cash conversion -- the bull case depends heavily on the still-small (~6% of revenue) defense segment scaling cleanly, which is not yet proven at volume</w:t>
      </w:r>
    </w:p>
    <w:p>
      <w:pPr>
        <w:pStyle w:val="Heading1"/>
        <w:spacing w:after="120" w:before="280"/>
      </w:pPr>
      <w:r>
        <w:t xml:space="preserve">Market-Cap Tier (informational — not a gate in this project)</w:t>
      </w:r>
    </w:p>
    <w:p>
      <w:pPr>
        <w:spacing w:after="120"/>
      </w:pPr>
      <w:r>
        <w:rPr>
          <w:b/>
          <w:bCs/>
        </w:rPr>
        <w:t xml:space="preserve">Small/Mid-cap (~Rs 4,553 Cr)</w:t>
      </w:r>
    </w:p>
    <w:p>
      <w:pPr>
        <w:pStyle w:val="Heading1"/>
        <w:spacing w:after="120" w:before="280"/>
      </w:pPr>
      <w:r>
        <w:t xml:space="preserve">Thesis Fit</w:t>
      </w:r>
    </w:p>
    <w:p>
      <w:pPr>
        <w:spacing w:after="120"/>
      </w:pPr>
      <w:r>
        <w:rPr>
          <w:b/>
          <w:bCs/>
          <w:sz w:val="24"/>
          <w:szCs w:val="24"/>
        </w:rPr>
        <w:t xml:space="preserve">10x-in-2-3-years</w:t>
      </w:r>
    </w:p>
    <w:p>
      <w:pPr>
        <w:pStyle w:val="Heading1"/>
        <w:spacing w:after="120" w:before="280"/>
      </w:pPr>
      <w:r>
        <w:t xml:space="preserve">Verdict</w:t>
      </w:r>
    </w:p>
    <w:p>
      <w:pPr>
        <w:spacing w:after="120"/>
      </w:pPr>
      <w:r>
        <w:rPr>
          <w:b/>
          <w:bCs/>
          <w:sz w:val="24"/>
          <w:szCs w:val="24"/>
        </w:rPr>
        <w:t xml:space="preserve">Real defense margin-mix inflection with a live, unresolved governance overhang on how that value gets captured</w:t>
      </w:r>
    </w:p>
    <w:p>
      <w:pPr>
        <w:pStyle w:val="ListParagraph"/>
        <w:numPr>
          <w:ilvl w:val="0"/>
          <w:numId w:val="1"/>
        </w:numPr>
        <w:spacing w:after="60"/>
      </w:pPr>
      <w:r>
        <w:t xml:space="preserve">The defense pivot is a genuine, specific, recent-quarter catalyst (not just narrative) with real certification and export milestones, credible enough for the 10x thesis given the small current defense-segment base</w:t>
      </w:r>
    </w:p>
    <w:p>
      <w:pPr>
        <w:pStyle w:val="ListParagraph"/>
        <w:numPr>
          <w:ilvl w:val="0"/>
          <w:numId w:val="1"/>
        </w:numPr>
        <w:spacing w:after="60"/>
      </w:pPr>
      <w:r>
        <w:t xml:space="preserve">Conviction held to Medium rather than higher because the two most recent trusted posts are explicitly about an unresolved capital-structure/dilution risk at the subsidiary level -- how much of the defense upside actually accrues to existing shareholders is genuinely unclear right now</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2026-08-25T14:05:06.558Z</dcterms:created>
  <dcterms:modified xsi:type="dcterms:W3CDTF">2026-08-25T14:05:06.563Z</dcterms:modified>
</cp:coreProperties>
</file>

<file path=docProps/custom.xml><?xml version="1.0" encoding="utf-8"?>
<Properties xmlns="http://schemas.openxmlformats.org/officeDocument/2006/custom-properties" xmlns:vt="http://schemas.openxmlformats.org/officeDocument/2006/docPropsVTypes"/>
</file>