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Gujarat Containers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Microcap steel-barrel / drum maker — historically high ROE but recent margins compressing and profit declining year-on-year, no catalyst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Gujarat Containers Ltd manufactures mild-steel barrels, drums and containers used for packaging chemicals, lubricants and food products. Microcap (~Rs 96 Cr) on BSE.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96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ROE / ROCE</w:t>
            </w:r>
          </w:p>
        </w:tc>
        <w:tc>
          <w:tcPr>
            <w:tcW w:type="dxa" w:w="5800"/>
          </w:tcPr>
          <w:p>
            <w:r>
              <w:t xml:space="preserve">5-yr average ROE ~24.6% / 5-yr average ROCE ~24.3%; latest half-year ROCE ~14.7% (lowest in the trailing period)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/ Profit</w:t>
            </w:r>
          </w:p>
        </w:tc>
        <w:tc>
          <w:tcPr>
            <w:tcW w:type="dxa" w:w="5800"/>
          </w:tcPr>
          <w:p>
            <w:r>
              <w:t xml:space="preserve">Revenue ~Rs 145 Cr; PAT ~Rs 6.7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Recent quarter</w:t>
            </w:r>
          </w:p>
        </w:tc>
        <w:tc>
          <w:tcPr>
            <w:tcW w:type="dxa" w:w="5800"/>
          </w:tcPr>
          <w:p>
            <w:r>
              <w:t xml:space="preserve">Q3 FY26 PAT ~Rs 2.0 Cr: +48% QoQ but -9% YoY; operating margin 10.5% -&gt; 9.1% YoY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Balance sheet</w:t>
            </w:r>
          </w:p>
        </w:tc>
        <w:tc>
          <w:tcPr>
            <w:tcW w:type="dxa" w:w="5800"/>
          </w:tcPr>
          <w:p>
            <w:r>
              <w:t xml:space="preserve">Low debt; historically stretched working-capital days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The multi-year averages look strong (ROE/ROCE ~24%) but the recent trend is the wrong way: Q3 FY26 profit was down ~9% YoY despite a QoQ bounce, operating margins compressed to ~9%, and latest ROCE is the lowest in the trailing window. Independent commentary framed the quarter as 'modest revenue growth masks profitability concerns'. This is a commodity-adjacent steel-conversion business with limited pricing power and low structural growth.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independently pulled; no clear trend indicated by available data.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No confident ValuePickr thread match in a category-11/14/17 search (Step 3.05) — the nearest hits were unrelated ('Lancer Containers', a wagon/container-manufacturing thread). topic_slug set to null; web-only write-up. The old 108-screen research also found no verifiable dedicated community coverage.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None — no dedicated VP thread, no trusted-roster coverage.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Not independently checked this pass. Historical working-capital stress (rising receivable/WC days) was flagged in the old research and remains a quality concern.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Historically high capital efficiency (5-yr average ROE/ROCE ~24%) for a microcap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Cheap on an absolute basis with low debt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Sequential profit recovery in the most recent quarter (+48% QoQ)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Most recent quarter profit down ~9% YoY and operating margin compressed to ~9% — the trend is deteriorating, not inflecting up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Latest ROCE is the lowest reading in the trailing period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Commodity-adjacent steel conversion with little pricing power and low long-run growth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specific catalyst and no community coverage to validate a thesis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History of stretched working-capital days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Microcap (~Rs 96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neither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Strong trailing averages but a softening recent trend and no catalyst — stays a watch, not a candidate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Re-check of a legacy-108-screen seed; old 2026-08-15 call was Tier C, 'cheap and improving but unconfirmed, lowest-conviction name'. The 'improving' part has weakened — YoY profit decline and margin compression — so the call tilts to 'cheap but softening'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inflection rule cuts the other way here: a strong multi-year average with a weakening recent quarter is not a buy signal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red-flag tier, but no growth catalyst, no pricing power and no community validation — does not fit the multi-bagger thesis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2026-08-29T04:03:11.493Z</dcterms:created>
  <dcterms:modified xsi:type="dcterms:W3CDTF">2026-08-29T04:03:11.493Z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