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Harshdeep Hortico Ltd</w:t>
      </w:r>
    </w:p>
    <w:p>
      <w:pPr>
        <w:pBdr>
          <w:bottom w:val="single" w:color="CCCCCC" w:sz="6" w:space="8"/>
        </w:pBdr>
        <w:spacing w:after="200"/>
      </w:pPr>
      <w:r>
        <w:rPr>
          <w:i/>
          <w:iCs/>
          <w:color w:val="666666"/>
          <w:sz w:val="22"/>
          <w:szCs w:val="22"/>
        </w:rPr>
        <w:t xml:space="preserve">Rs ~130 Cr BSE-SME micro-cap in premium pots, planters and garden decor with ~25% ROE, near-zero debt and 25-30% revenue growth into new verticals - genuinely fast-growing, but cash flow is currently locked in working capital</w:t>
      </w:r>
    </w:p>
    <w:p>
      <w:pPr>
        <w:pStyle w:val="Heading1"/>
        <w:spacing w:after="120" w:before="280"/>
      </w:pPr>
      <w:r>
        <w:t xml:space="preserve">Business Overview</w:t>
      </w:r>
    </w:p>
    <w:p>
      <w:pPr>
        <w:spacing w:after="120"/>
      </w:pPr>
      <w:r>
        <w:t xml:space="preserve">Harshdeep Hortico (BSE-SME listed Feb 2024) manufactures and markets premium pots and planters, decorative planters, garden accessories, shade nets and outdoor furniture, plus newer verticals 'Agri Shield' and 'Muebles' (furniture). It sells to nurseries, garden centres, landscapers, architects and institutional buyers - airports, hotels, builders and infrastructure projects - where execution and reliability matter more than price.</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129-130 Cr (BSE SME)</w:t>
            </w:r>
          </w:p>
        </w:tc>
      </w:tr>
      <w:tr>
        <w:tc>
          <w:tcPr>
            <w:tcW w:type="dxa" w:w="3200"/>
            <w:shd w:fill="F2F2F2" w:val="clear"/>
          </w:tcPr>
          <w:p>
            <w:r>
              <w:rPr>
                <w:b/>
                <w:bCs/>
              </w:rPr>
              <w:t xml:space="preserve">ROE (3-yr) / ROIC</w:t>
            </w:r>
          </w:p>
        </w:tc>
        <w:tc>
          <w:tcPr>
            <w:tcW w:type="dxa" w:w="5800"/>
          </w:tcPr>
          <w:p>
            <w:r>
              <w:t xml:space="preserve">~25% / ~24%</w:t>
            </w:r>
          </w:p>
        </w:tc>
      </w:tr>
      <w:tr>
        <w:tc>
          <w:tcPr>
            <w:tcW w:type="dxa" w:w="3200"/>
            <w:shd w:fill="F2F2F2" w:val="clear"/>
          </w:tcPr>
          <w:p>
            <w:r>
              <w:rPr>
                <w:b/>
                <w:bCs/>
              </w:rPr>
              <w:t xml:space="preserve">Revenue / PAT</w:t>
            </w:r>
          </w:p>
        </w:tc>
        <w:tc>
          <w:tcPr>
            <w:tcW w:type="dxa" w:w="5800"/>
          </w:tcPr>
          <w:p>
            <w:r>
              <w:t xml:space="preserve">FY latest ~Rs 69 Cr revenue, ~Rs 13 Cr PAT; H1 FY26 revenue +31% YoY to ~Rs 33 Cr, PAT +35% to ~Rs 5.7 Cr</w:t>
            </w:r>
          </w:p>
        </w:tc>
      </w:tr>
      <w:tr>
        <w:tc>
          <w:tcPr>
            <w:tcW w:type="dxa" w:w="3200"/>
            <w:shd w:fill="F2F2F2" w:val="clear"/>
          </w:tcPr>
          <w:p>
            <w:r>
              <w:rPr>
                <w:b/>
                <w:bCs/>
              </w:rPr>
              <w:t xml:space="preserve">Revenue growth</w:t>
            </w:r>
          </w:p>
        </w:tc>
        <w:tc>
          <w:tcPr>
            <w:tcW w:type="dxa" w:w="5800"/>
          </w:tcPr>
          <w:p>
            <w:r>
              <w:t xml:space="preserve">3-yr revenue CAGR ~25%</w:t>
            </w:r>
          </w:p>
        </w:tc>
      </w:tr>
      <w:tr>
        <w:tc>
          <w:tcPr>
            <w:tcW w:type="dxa" w:w="3200"/>
            <w:shd w:fill="F2F2F2" w:val="clear"/>
          </w:tcPr>
          <w:p>
            <w:r>
              <w:rPr>
                <w:b/>
                <w:bCs/>
              </w:rPr>
              <w:t xml:space="preserve">Debt</w:t>
            </w:r>
          </w:p>
        </w:tc>
        <w:tc>
          <w:tcPr>
            <w:tcW w:type="dxa" w:w="5800"/>
          </w:tcPr>
          <w:p>
            <w:r>
              <w:t xml:space="preserve">Almost debt-free (D/E ~0.06)</w:t>
            </w:r>
          </w:p>
        </w:tc>
      </w:tr>
      <w:tr>
        <w:tc>
          <w:tcPr>
            <w:tcW w:type="dxa" w:w="3200"/>
            <w:shd w:fill="F2F2F2" w:val="clear"/>
          </w:tcPr>
          <w:p>
            <w:r>
              <w:rPr>
                <w:b/>
                <w:bCs/>
              </w:rPr>
              <w:t xml:space="preserve">Other</w:t>
            </w:r>
          </w:p>
        </w:tc>
        <w:tc>
          <w:tcPr>
            <w:tcW w:type="dxa" w:w="5800"/>
          </w:tcPr>
          <w:p>
            <w:r>
              <w:t xml:space="preserve">First dividend declared while still in expansion; promoter family retains a large stake</w:t>
            </w:r>
          </w:p>
        </w:tc>
      </w:tr>
    </w:tbl>
    <w:p>
      <w:pPr>
        <w:spacing w:after="100"/>
      </w:pPr>
    </w:p>
    <w:p>
      <w:pPr>
        <w:spacing w:after="120"/>
      </w:pPr>
      <w:r>
        <w:t xml:space="preserve">For a micro-cap the return profile is strong - ~25% ROE, ~24% ROIC, near-zero debt - and growth is real and broad-based (H1 FY26 revenue +31%, PAT +35%), driven by new categories (outdoor furniture, shade nets), exports and distribution expansion. The clear weakness, flagged by forum members, is cash conversion: free cash flow is currently negative because inventory and working capital are absorbing cash during the scale-up, and operating-level cash flows look slim. The claimed moat is not a single dominant one but a combination - 500+ designs and 2,200+ SKUs on a mould library built over years, a nationwide dealer/nursery/landscaper network, and institutional relationships that take time to earn.</w:t>
      </w:r>
    </w:p>
    <w:p>
      <w:pPr>
        <w:pStyle w:val="Heading1"/>
        <w:spacing w:after="120" w:before="280"/>
      </w:pPr>
      <w:r>
        <w:t xml:space="preserve">Technical Read (Weekly / Monthly MACD + Bollinger Bands, or RSI/CCI/Williams %R proxy)</w:t>
      </w:r>
    </w:p>
    <w:p>
      <w:pPr>
        <w:spacing w:after="120"/>
      </w:pPr>
      <w:r>
        <w:t xml:space="preserve">Not independently pulled; thinly-traded BSE-SME name, so price action is illiquid and volatile.</w:t>
      </w:r>
    </w:p>
    <w:p>
      <w:pPr>
        <w:pStyle w:val="Heading1"/>
        <w:spacing w:after="120" w:before="280"/>
      </w:pPr>
      <w:r>
        <w:t xml:space="preserve">ValuePickr Community Signal</w:t>
      </w:r>
    </w:p>
    <w:p>
      <w:pPr>
        <w:spacing w:after="120"/>
      </w:pPr>
      <w:r>
        <w:t xml:space="preserve">Small 5-post thread (since Jul 2026). abhicnr (elevated) authored a well-received intro (7 loves): Rs 130 Cr mcap, ~Rs 69 Cr revenue, ~Rs 13 Cr PAT, ROE ~23%, D/E ~0.06, 3-yr CAGR ~25%, moat from the design/SKU/mould library plus distribution and institutional relationships. The only substantive pushback (RoyD) is that cash flows are getting locked in working capital, FCF is negative, and scaling a low-barrier plastic-products business will be a challenge; abhicnr's reply frames the working-capital drag as a normal early-growth investment phase, noting the company still declared its first dividend.</w:t>
      </w:r>
    </w:p>
    <w:p>
      <w:pPr>
        <w:spacing w:after="120"/>
      </w:pPr>
      <w:r>
        <w:rPr>
          <w:b/>
          <w:bCs/>
          <w:sz w:val="20"/>
          <w:szCs w:val="20"/>
        </w:rPr>
        <w:t xml:space="preserve">High-conviction call from a top contributor: </w:t>
      </w:r>
      <w:r>
        <w:rPr>
          <w:sz w:val="20"/>
          <w:szCs w:val="20"/>
        </w:rPr>
        <w:t xml:space="preserve">abhicnr (elevated) - authored the thesis and engaged constructively with the bear case; a positive stance from an elevated-tier user, though framed as a growth micro-cap idea rather than a high-conviction, sized position call.</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2026-07-27 — abhicnr</w:t>
      </w:r>
      <w:r>
        <w:rPr>
          <w:i/>
          <w:iCs/>
          <w:color w:val="666666"/>
          <w:sz w:val="18"/>
          <w:szCs w:val="18"/>
        </w:rPr>
        <w:t xml:space="preserve"> (Harshdeep Hortico Ltd (SME) company thread)</w:t>
      </w:r>
      <w:r>
        <w:rPr>
          <w:sz w:val="20"/>
          <w:szCs w:val="20"/>
        </w:rPr>
        <w:br/>
        <w:t xml:space="preserve">: Authored the thread's founding thesis (7 loves): ~25% ROE, near-zero debt, ~25% 3-yr revenue CAGR, moat from a 500-design / 2,200-SKU mould library plus a nationwide distribution and institutional-customer network. Defended the case against the working-capital / negative-FCF critique as a normal early-growth investment phase. Elevated tier, not core; no conviction floor active - treated as a positive informational signal.</w:t>
      </w:r>
    </w:p>
    <w:p>
      <w:pPr>
        <w:pStyle w:val="Heading1"/>
        <w:spacing w:after="120" w:before="280"/>
      </w:pPr>
      <w:r>
        <w:t xml:space="preserve">BSE Corporate Actions / Other Red Flags</w:t>
      </w:r>
    </w:p>
    <w:p>
      <w:pPr>
        <w:spacing w:after="120"/>
      </w:pPr>
      <w:r>
        <w:t xml:space="preserve">No SEBI or corporate-action red flag found. First dividend declared despite being in an expansion phase. BSE-SME listed Feb 2024 at Rs 42 (issue price).</w:t>
      </w:r>
    </w:p>
    <w:p>
      <w:pPr>
        <w:pStyle w:val="Heading1"/>
        <w:spacing w:after="120" w:before="280"/>
      </w:pPr>
      <w:r>
        <w:t xml:space="preserve">Bull Case</w:t>
      </w:r>
    </w:p>
    <w:p>
      <w:pPr>
        <w:pStyle w:val="ListParagraph"/>
        <w:numPr>
          <w:ilvl w:val="0"/>
          <w:numId w:val="1"/>
        </w:numPr>
        <w:spacing w:after="60"/>
      </w:pPr>
      <w:r>
        <w:t xml:space="preserve">Strong micro-cap economics: ~25% ROE, ~24% ROIC, near debt-free, self-funding growth</w:t>
      </w:r>
    </w:p>
    <w:p>
      <w:pPr>
        <w:pStyle w:val="ListParagraph"/>
        <w:numPr>
          <w:ilvl w:val="0"/>
          <w:numId w:val="1"/>
        </w:numPr>
        <w:spacing w:after="60"/>
      </w:pPr>
      <w:r>
        <w:t xml:space="preserve">Real, broad-based growth (H1 FY26 revenue +31%, PAT +35%) into new categories - outdoor furniture, shade nets, Agri Shield, Muebles - and exports</w:t>
      </w:r>
    </w:p>
    <w:p>
      <w:pPr>
        <w:pStyle w:val="ListParagraph"/>
        <w:numPr>
          <w:ilvl w:val="0"/>
          <w:numId w:val="1"/>
        </w:numPr>
        <w:spacing w:after="60"/>
      </w:pPr>
      <w:r>
        <w:t xml:space="preserve">Combination moat: 2,200+ SKUs / 500+ designs on a years-built mould library, plus a nationwide distribution network and institutional (airport/hotel/builder) relationships that are slow to replicate</w:t>
      </w:r>
    </w:p>
    <w:p>
      <w:pPr>
        <w:pStyle w:val="ListParagraph"/>
        <w:numPr>
          <w:ilvl w:val="0"/>
          <w:numId w:val="1"/>
        </w:numPr>
        <w:spacing w:after="60"/>
      </w:pPr>
      <w:r>
        <w:t xml:space="preserve">Rs ~130 Cr market cap - a long runway if the category (urban gardening, landscaping, hospitality/infra decor) keeps formalising</w:t>
      </w:r>
    </w:p>
    <w:p>
      <w:pPr>
        <w:pStyle w:val="ListParagraph"/>
        <w:numPr>
          <w:ilvl w:val="0"/>
          <w:numId w:val="1"/>
        </w:numPr>
        <w:spacing w:after="60"/>
      </w:pPr>
      <w:r>
        <w:t xml:space="preserve">First dividend declared while still investing - a small signal of capital discipline</w:t>
      </w:r>
    </w:p>
    <w:p>
      <w:pPr>
        <w:pStyle w:val="Heading1"/>
        <w:spacing w:after="120" w:before="280"/>
      </w:pPr>
      <w:r>
        <w:t xml:space="preserve">Bear Case / Key Risks</w:t>
      </w:r>
    </w:p>
    <w:p>
      <w:pPr>
        <w:pStyle w:val="ListParagraph"/>
        <w:numPr>
          <w:ilvl w:val="0"/>
          <w:numId w:val="1"/>
        </w:numPr>
        <w:spacing w:after="60"/>
      </w:pPr>
      <w:r>
        <w:t xml:space="preserve">Negative free cash flow - inventory and working capital are absorbing operating cash during the scale-up; slim operating cash flows</w:t>
      </w:r>
    </w:p>
    <w:p>
      <w:pPr>
        <w:pStyle w:val="ListParagraph"/>
        <w:numPr>
          <w:ilvl w:val="0"/>
          <w:numId w:val="1"/>
        </w:numPr>
        <w:spacing w:after="60"/>
      </w:pPr>
      <w:r>
        <w:t xml:space="preserve">Underlying products (plastic/FRP planters) have low manufacturing barriers; the moat is distribution and design, not technology</w:t>
      </w:r>
    </w:p>
    <w:p>
      <w:pPr>
        <w:pStyle w:val="ListParagraph"/>
        <w:numPr>
          <w:ilvl w:val="0"/>
          <w:numId w:val="1"/>
        </w:numPr>
        <w:spacing w:after="60"/>
      </w:pPr>
      <w:r>
        <w:t xml:space="preserve">BSE-SME scale: thin disclosure, low liquidity, and execution risk on the new verticals</w:t>
      </w:r>
    </w:p>
    <w:p>
      <w:pPr>
        <w:pStyle w:val="ListParagraph"/>
        <w:numPr>
          <w:ilvl w:val="0"/>
          <w:numId w:val="1"/>
        </w:numPr>
        <w:spacing w:after="60"/>
      </w:pPr>
      <w:r>
        <w:t xml:space="preserve">Institutional/infra demand can be lumpy and working-capital-heavy (project receivables)</w:t>
      </w:r>
    </w:p>
    <w:p>
      <w:pPr>
        <w:pStyle w:val="ListParagraph"/>
        <w:numPr>
          <w:ilvl w:val="0"/>
          <w:numId w:val="1"/>
        </w:numPr>
        <w:spacing w:after="60"/>
      </w:pPr>
      <w:r>
        <w:t xml:space="preserve">Only a 5-post thread - limited independent scrutiny so far</w:t>
      </w:r>
    </w:p>
    <w:p>
      <w:pPr>
        <w:pStyle w:val="Heading1"/>
        <w:spacing w:after="120" w:before="280"/>
      </w:pPr>
      <w:r>
        <w:t xml:space="preserve">Market-Cap Tier (informational — not a gate in this project)</w:t>
      </w:r>
    </w:p>
    <w:p>
      <w:pPr>
        <w:spacing w:after="120"/>
      </w:pPr>
      <w:r>
        <w:rPr>
          <w:b/>
          <w:bCs/>
        </w:rPr>
        <w:t xml:space="preserve">Micro-cap / SME (~Rs 130 Cr)</w:t>
      </w:r>
    </w:p>
    <w:p>
      <w:pPr>
        <w:pStyle w:val="Heading1"/>
        <w:spacing w:after="120" w:before="280"/>
      </w:pPr>
      <w:r>
        <w:t xml:space="preserve">Thesis Fit</w:t>
      </w:r>
    </w:p>
    <w:p>
      <w:pPr>
        <w:spacing w:after="120"/>
      </w:pPr>
      <w:r>
        <w:rPr>
          <w:b/>
          <w:bCs/>
          <w:sz w:val="24"/>
          <w:szCs w:val="24"/>
        </w:rPr>
        <w:t xml:space="preserve">10x-in-2-3-years - a genuinely fast-growing, high-ROE, near-debt-free micro-cap with a distribution/design moat and a formalising end-market; classification is unconfirmed because negative FCF and SME scale make a literal near-term 10x a stretch, so treat it as a multi-year rather than 2-3-year multibagger case</w:t>
      </w:r>
    </w:p>
    <w:p>
      <w:pPr>
        <w:pStyle w:val="Heading1"/>
        <w:spacing w:after="120" w:before="280"/>
      </w:pPr>
      <w:r>
        <w:t xml:space="preserve">Verdict</w:t>
      </w:r>
    </w:p>
    <w:p>
      <w:pPr>
        <w:spacing w:after="120"/>
      </w:pPr>
      <w:r>
        <w:rPr>
          <w:b/>
          <w:bCs/>
          <w:sz w:val="24"/>
          <w:szCs w:val="24"/>
        </w:rPr>
        <w:t xml:space="preserve">High-ROE, debt-light garden-decor micro-cap compounding revenue at ~25-30% - the growth and returns are real; the constraint is cash conversion. Conviction Medium, unconfirmed</w:t>
      </w:r>
    </w:p>
    <w:p>
      <w:pPr>
        <w:pStyle w:val="ListParagraph"/>
        <w:numPr>
          <w:ilvl w:val="0"/>
          <w:numId w:val="1"/>
        </w:numPr>
        <w:spacing w:after="60"/>
      </w:pPr>
      <w:r>
        <w:t xml:space="preserve">First-time coverage. Both the trailing record (~25% ROE, ~25% 3-yr CAGR, near-zero debt) and the recent trend (H1 FY26 revenue +31%, PAT +35%) are strong, and the end-market (urban gardening, landscaping, hospitality/infra decor) is formalising.</w:t>
      </w:r>
    </w:p>
    <w:p>
      <w:pPr>
        <w:pStyle w:val="ListParagraph"/>
        <w:numPr>
          <w:ilvl w:val="0"/>
          <w:numId w:val="1"/>
        </w:numPr>
        <w:spacing w:after="60"/>
      </w:pPr>
      <w:r>
        <w:t xml:space="preserve">The one clear offset is negative free cash flow as working capital and inventory absorb operating cash - a real risk in a low-barrier products business, though plausibly an early-growth-phase feature given the first dividend was still declared.</w:t>
      </w:r>
    </w:p>
    <w:p>
      <w:pPr>
        <w:pStyle w:val="ListParagraph"/>
        <w:numPr>
          <w:ilvl w:val="0"/>
          <w:numId w:val="1"/>
        </w:numPr>
        <w:spacing w:after="60"/>
      </w:pPr>
      <w:r>
        <w:t xml:space="preserve">abhicnr (elevated) authored and defended the thesis; logged as a positive trusted_signal, but he is elevated not core and no conviction floor is active, so conviction is set on the fundamentals: Medium.</w:t>
      </w:r>
    </w:p>
    <w:p>
      <w:pPr>
        <w:pStyle w:val="ListParagraph"/>
        <w:numPr>
          <w:ilvl w:val="0"/>
          <w:numId w:val="1"/>
        </w:numPr>
        <w:spacing w:after="60"/>
      </w:pPr>
      <w:r>
        <w:t xml:space="preserve">No red-flag tier. thesis_fit 10x-in-2-3-years with an explicit unconfirmed caveat. Not auto-flagged for 30-day revisit at Medium conviction; recheck on the next results. Key watch items: does operating cash flow turn positive, and do the new verticals sustain the growth rate.</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2026-08-30T12:52:25.844Z</dcterms:created>
  <dcterms:modified xsi:type="dcterms:W3CDTF">2026-08-30T12:52:25.850Z</dcterms:modified>
</cp:coreProperties>
</file>

<file path=docProps/custom.xml><?xml version="1.0" encoding="utf-8"?>
<Properties xmlns="http://schemas.openxmlformats.org/officeDocument/2006/custom-properties" xmlns:vt="http://schemas.openxmlformats.org/officeDocument/2006/docPropsVTypes"/>
</file>