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Heritage Foods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South Indian dairy leader with genuine structural tailwinds (GST cuts, unorganized-to-organized shift) but already richly valued and moderate-growth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Heritage Foods is one of the largest private dairy players in South India, processing ~2.78 million litres of milk per day across 18 processing plants, with milk (57% of sales), value-added products (VAP, 32%), fat products, and ice creams making up its segment mix.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3,524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14.8%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12.6%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0.14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TTM Revenue</w:t>
            </w:r>
          </w:p>
        </w:tc>
        <w:tc>
          <w:tcPr>
            <w:tcW w:type="dxa" w:w="5800"/>
          </w:tcPr>
          <w:p>
            <w:r>
              <w:t xml:space="preserve">Rs 4,336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292.55 - Rs 542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quality metrics (ROCE 24.62%, ROE 19.37%, low leverage) and steady mid-to-high single-digit growth, but the stock already trades at a rich ~50x P/E per community commentary — meaningfully above the dairy-sector median. Q1 FY26 showed revenue growth (+10%, Rs 1,136 Cr vs Rs 1,032 Cr) but a margin squeeze (EBITDA margin 6.5% vs 9.1%, PAT down to Rs 40 Cr from Rs 58 Cr) driven by unusually cool, wet weather hurting value-added-product and ice-cream sales — a temporary, weather-driven headwind rather than a structural one. Re-verified 2026-08-22: fundamentals are moderate rather than exceptional (ROCE/ROE both ~13-15%), consistent with a mature FMCG dairy business already priced for its structural tailwinds.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— no browser escalation triggered.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50 of 277+ posts covering the most recent stretch of the thread (posts #250-306). This is an actively and constructively engaged discussion with multiple trusted users converging on a structurally bullish sector read despite the soft Q1 print.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Chandragupta (trusted, 17 loves on the standout post) laid out a detailed structural bull case: GST cuts on value-added dairy products plus middle-class tax cuts boosting consumption, a good monsoon supporting both milk availability/pricing and rural incomes, and the ongoing unorganized-to-organized shift (still ~80% unorganized nationally) as a multi-year tailwind for organized players like Heritage. He also noted Heritage's own Q1 results (sales +10.58%, gross margins improving to 24%) actually outperformed larger peers Dodla and Hatsun Agro on a standalone basis, though the market was disappointed by Heritage raising its stake in the underperforming Novandie JV to 94%. ranvir (trusted) provided detailed, sourced Q1 FY26 segment-level concall data. Hemant_Kumar2 (non-trusted but detailed) separately flagged the stock's ~50x P/E as 'way over industry median' even before applying forward growth assumptions.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recent (Q1 FY26 results period) — Chandragupta, ranvir (both trusted)</w:t>
      </w:r>
      <w:r>
        <w:rPr>
          <w:i/>
          <w:iCs/>
          <w:color w:val="666666"/>
          <w:sz w:val="18"/>
          <w:szCs w:val="18"/>
        </w:rPr>
        <w:t xml:space="preserve"> (Heritage Foods Ltd company thread)</w:t>
      </w:r>
      <w:r>
        <w:rPr>
          <w:sz w:val="20"/>
          <w:szCs w:val="20"/>
        </w:rPr>
        <w:br/>
        <w:t xml:space="preserve">: Chandragupta laid out a multi-factor structural bull case (GST cuts, monsoon, unorganized-to-organized shift) despite a soft headline quarter; ranvir provided detailed segment-level Q1 FY26 data. Independently, dineshssairam's (trusted) original portfolio mention flagged Heritage Foods as having 'done 100%+' as a long-held core position.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Market disappointment was noted around Heritage's decision to raise its stake in the underperforming Novandie JV (HNFPL) to 94%, having invested ~Rs 5 Cr+ with the JV 'consistently failing to live up to expectations' since going commercial in FY21 — a capital-allocation concern worth watching but not a red-flag-tier issue.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multi-factor structural tailwinds actively discussed by trusted users: recent GST cuts on VAP, tax-driven consumption boost, favorable monsoon, and the large (~80%) unorganized-to-organized dairy market shift still ahead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FY26 standalone results actually outperformed larger peers Dodla and Hatsun Agro on sales growth and margin trajectory despite a weak headline print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quality metrics (ROCE 24.62%, ROE 19.37%, low leverage) and a long-held, still-profitable trusted position (dineshssairam, 100%+ returns cited)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trades at a rich ~50x P/E, well above the dairy-sector median — much of the quality and tailwind story may already be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steady mid-to-high single digits, not explosive — the multibagger arithmetic is difficult to make work even with tailwinds, at this market 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Continued capital being pumped into the underperforming Novandie JV (now a 94%-owned subsidiary) is a capital-allocation concern the market has already penalized once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FY26 margin compression (weather-driven) shows the VAP/ice-cream segment carries real seasonal/weather risk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quality dairy compounder with real structural tailwinds and genuine trusted community backing — but already priced richly for what remains a moderate-growth FMCG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trusted signal here is substantive and current, not stale: Chandragupta and ranvir are both actively engaged with recent (Q1 FY26) data and a well-reasoned structural bull case around GST cuts and the unorganized-to-organized shift, corroborating dineshssairam's original long-held, profitable position.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However, at a ~50x P/E already well above the sector median, and with growth running at a steady 9-10% rather than an explosive rate, the multibagger arithmetic doesn't work even with the sector tailwinds factored in — this reads as a well-run compounder, not a 10x/100x candidate.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was found (the Novandie JV capital allocation is a watch-item, not a solvency/promoter/regulatory issue), so per the conviction floor for very-high trusted candidates, conviction is set to Medium-High.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tracking for the sector tailwind thesis playing out, but thesis_fit is 'neither' on valuation/growth-rate grounds, not a quality knock.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Re-verification pass (2026-08-22): source (dineshssairam) is elevated-tier, not top-tier — no automatic floor. Conviction corrected down from Medium-High to Medium: genuine structural tailwinds (GST cuts, monsoon, unorganized-to-organized shift) and real multi-trusted-user convergence support the business quality, but the fundamentals are only moderate and the stock is already priced for a moderate-growth FMCG story.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2026-08-22T17:19:19.724Z</dcterms:created>
  <dcterms:modified xsi:type="dcterms:W3CDTF">2026-08-22T17:19:19.724Z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