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Highness Microelectronics Ltd: a SMILE-type opportunity in electronics manufacturing?</w:t>
      </w:r>
    </w:p>
    <w:p>
      <w:pPr>
        <w:pBdr>
          <w:bottom w:val="single" w:color="CCCCCC" w:sz="6" w:space="8"/>
        </w:pBdr>
        <w:spacing w:after="200"/>
      </w:pPr>
      <w:r>
        <w:rPr>
          <w:i/>
          <w:iCs/>
          <w:color w:val="666666"/>
          <w:sz w:val="22"/>
          <w:szCs w:val="22"/>
        </w:rPr>
        <w:t xml:space="preserve">A tiny, recently-listed display/imaging manufacturer with real growth optionality, but genuine unanswered questions on capacity strategy, capex funding and director remuneration</w:t>
      </w:r>
    </w:p>
    <w:p>
      <w:pPr>
        <w:pStyle w:val="Heading1"/>
        <w:spacing w:after="120" w:before="280"/>
      </w:pPr>
      <w:r>
        <w:t xml:space="preserve">Business Overview</w:t>
      </w:r>
    </w:p>
    <w:p>
      <w:pPr>
        <w:spacing w:after="120"/>
      </w:pPr>
      <w:r>
        <w:t xml:space="preserve">Highness Microelectronics manufactures custom-engineered, rugged display and digital-imaging systems for industrial, medical, railway and defense applications, positioned by an early poster as a small potential beneficiary of India's electronics localization push (drawing a 'SMILE framework' comparison, per investor Vijay Kedia's small-cap thesis style). Listed on the BSE SME platform in April 2026. The company is now also considering entry into passenger automotive displays - a more competitive, price-sensitive adjacent segment.</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91.7 Cr (very tiny, recent IPO)</w:t>
            </w:r>
          </w:p>
        </w:tc>
      </w:tr>
      <w:tr>
        <w:tc>
          <w:tcPr>
            <w:tcW w:type="dxa" w:w="3200"/>
            <w:shd w:fill="F2F2F2" w:val="clear"/>
          </w:tcPr>
          <w:p>
            <w:r>
              <w:rPr>
                <w:b/>
                <w:bCs/>
              </w:rPr>
              <w:t xml:space="preserve">ROCE / ROE</w:t>
            </w:r>
          </w:p>
        </w:tc>
        <w:tc>
          <w:tcPr>
            <w:tcW w:type="dxa" w:w="5800"/>
          </w:tcPr>
          <w:p>
            <w:r>
              <w:t xml:space="preserve">27.4% / 24.3% (strong, though early-stage/small-base)</w:t>
            </w:r>
          </w:p>
        </w:tc>
      </w:tr>
      <w:tr>
        <w:tc>
          <w:tcPr>
            <w:tcW w:type="dxa" w:w="3200"/>
            <w:shd w:fill="F2F2F2" w:val="clear"/>
          </w:tcPr>
          <w:p>
            <w:r>
              <w:rPr>
                <w:b/>
                <w:bCs/>
              </w:rPr>
              <w:t xml:space="preserve">Revenue trajectory</w:t>
            </w:r>
          </w:p>
        </w:tc>
        <w:tc>
          <w:tcPr>
            <w:tcW w:type="dxa" w:w="5800"/>
          </w:tcPr>
          <w:p>
            <w:r>
              <w:t xml:space="preserve">Rs 9.91 Cr (FY23) -&gt; Rs 14.17 Cr (FY25) - growing off a small base</w:t>
            </w:r>
          </w:p>
        </w:tc>
      </w:tr>
      <w:tr>
        <w:tc>
          <w:tcPr>
            <w:tcW w:type="dxa" w:w="3200"/>
            <w:shd w:fill="F2F2F2" w:val="clear"/>
          </w:tcPr>
          <w:p>
            <w:r>
              <w:rPr>
                <w:b/>
                <w:bCs/>
              </w:rPr>
              <w:t xml:space="preserve">Debtor days</w:t>
            </w:r>
          </w:p>
        </w:tc>
        <w:tc>
          <w:tcPr>
            <w:tcW w:type="dxa" w:w="5800"/>
          </w:tcPr>
          <w:p>
            <w:r>
              <w:t xml:space="preserve">235 (a real working-capital concern for a company this small)</w:t>
            </w:r>
          </w:p>
        </w:tc>
      </w:tr>
      <w:tr>
        <w:tc>
          <w:tcPr>
            <w:tcW w:type="dxa" w:w="3200"/>
            <w:shd w:fill="F2F2F2" w:val="clear"/>
          </w:tcPr>
          <w:p>
            <w:r>
              <w:rPr>
                <w:b/>
                <w:bCs/>
              </w:rPr>
              <w:t xml:space="preserve">Director remuneration</w:t>
            </w:r>
          </w:p>
        </w:tc>
        <w:tc>
          <w:tcPr>
            <w:tcW w:type="dxa" w:w="5800"/>
          </w:tcPr>
          <w:p>
            <w:r>
              <w:t xml:space="preserve">~18% of PAT in FY25/9M FY26, per a community-sourced question</w:t>
            </w:r>
          </w:p>
        </w:tc>
      </w:tr>
    </w:tbl>
    <w:p>
      <w:pPr>
        <w:spacing w:after="100"/>
      </w:pPr>
    </w:p>
    <w:p>
      <w:pPr>
        <w:spacing w:after="120"/>
      </w:pPr>
      <w:r>
        <w:t xml:space="preserve">Headline returns (27.4% ROCE, 24.3% ROE) look strong but are on a very small revenue base still ramping from Rs 9.91 Cr to Rs 14.17 Cr over two years. Debtor days of 235 is a genuine working-capital red flag for a company this size - a long collection cycle materially increases funding needs and risk. Separately, a community member's direct question to the CFO revealed director remuneration running at ~18% of PAT (FY25 and 9M FY26), which the CFO confirmed was board-approved but otherwise gave what the poster characterized as 'rather vague' answers - a real capital-allocation/governance question that remains only partially resolved.</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full 10-post thread (single batch - entire thread history, listed only in June 2026, so this is essentially all community discussion that exists). Sentiment has been cautiously curious throughout: an initial bullish SMILE-framework pitch, followed by a sequence of pointed but unresolved or only partially-resolved questions from multiple different posters about capacity-expansion rationale, capex funding, competitive strategy, and (most recently) director remuneration.</w:t>
      </w:r>
    </w:p>
    <w:p>
      <w:pPr>
        <w:spacing w:after="120"/>
      </w:pPr>
      <w:r>
        <w:rPr>
          <w:b/>
          <w:bCs/>
          <w:sz w:val="20"/>
          <w:szCs w:val="20"/>
        </w:rPr>
        <w:t xml:space="preserve">High-conviction call from a top contributor: </w:t>
      </w:r>
      <w:r>
        <w:rPr>
          <w:sz w:val="20"/>
          <w:szCs w:val="20"/>
        </w:rPr>
        <w:t xml:space="preserve">No trusted-roster user has posted in this thread (Satishwe, trusted, posted twice but with no visible text content in the fetched batch). BuyHighSellLow raised two of the most substantive concerns in the thread: first (July 2026) questioning the strategic rationale for entering the more competitive, lower-margin passenger-automotive-display segment given the company's existing rugged/custom niche; second (Aug 2026) directly querying the CFO about director remuneration at ~18% of PAT, receiving what he described as a 'rather vague' response. sameernics flagged early on that capacity-utilization was already low, questioning the rationale for further capacity expansion - a question answered by management in a concall screenshot but not independently verified in the thread. bibhor separately noted the ~Rs 20 Cr Goa-plant capex (1.5-year Phase 1 timeline) with an open question about funding that was not directly answered in the thread.</w:t>
      </w:r>
    </w:p>
    <w:p>
      <w:pPr>
        <w:pStyle w:val="Heading1"/>
        <w:spacing w:after="120" w:before="280"/>
      </w:pPr>
      <w:r>
        <w:t xml:space="preserve">BSE Corporate Actions / Other Red Flags</w:t>
      </w:r>
    </w:p>
    <w:p>
      <w:pPr>
        <w:spacing w:after="120"/>
      </w:pPr>
      <w:r>
        <w:t xml:space="preserve">Not independently checked this pass.</w:t>
      </w:r>
    </w:p>
    <w:p>
      <w:pPr>
        <w:pStyle w:val="Heading1"/>
        <w:spacing w:after="120" w:before="280"/>
      </w:pPr>
      <w:r>
        <w:t xml:space="preserve">Bull Case</w:t>
      </w:r>
    </w:p>
    <w:p>
      <w:pPr>
        <w:pStyle w:val="ListParagraph"/>
        <w:numPr>
          <w:ilvl w:val="0"/>
          <w:numId w:val="1"/>
        </w:numPr>
        <w:spacing w:after="60"/>
      </w:pPr>
      <w:r>
        <w:t xml:space="preserve">Strong headline ROCE/ROE (27.4%/24.3%) and real revenue growth off a small base, positioned in a genuine India electronics-localization/import-substitution theme</w:t>
      </w:r>
    </w:p>
    <w:p>
      <w:pPr>
        <w:pStyle w:val="ListParagraph"/>
        <w:numPr>
          <w:ilvl w:val="0"/>
          <w:numId w:val="1"/>
        </w:numPr>
        <w:spacing w:after="60"/>
      </w:pPr>
      <w:r>
        <w:t xml:space="preserve">Customs duty cuts on imported electronics parts (per one community post) could meaningfully benefit a company that currently imports ~90% of certain components</w:t>
      </w:r>
    </w:p>
    <w:p>
      <w:pPr>
        <w:pStyle w:val="ListParagraph"/>
        <w:numPr>
          <w:ilvl w:val="0"/>
          <w:numId w:val="1"/>
        </w:numPr>
        <w:spacing w:after="60"/>
      </w:pPr>
      <w:r>
        <w:t xml:space="preserve">Niche in rugged/custom-engineered displays for industrial, medical, railway and defense applications is differentiated versus commodity consumer-display manufacturing</w:t>
      </w:r>
    </w:p>
    <w:p>
      <w:pPr>
        <w:pStyle w:val="ListParagraph"/>
        <w:numPr>
          <w:ilvl w:val="0"/>
          <w:numId w:val="1"/>
        </w:numPr>
        <w:spacing w:after="60"/>
      </w:pPr>
      <w:r>
        <w:t xml:space="preserve">Very small market cap (~Rs 91.7 Cr) leaves substantial room for a 10x case if execution and capital allocation prove sound</w:t>
      </w:r>
    </w:p>
    <w:p>
      <w:pPr>
        <w:pStyle w:val="Heading1"/>
        <w:spacing w:after="120" w:before="280"/>
      </w:pPr>
      <w:r>
        <w:t xml:space="preserve">Bear Case / Key Risks</w:t>
      </w:r>
    </w:p>
    <w:p>
      <w:pPr>
        <w:pStyle w:val="ListParagraph"/>
        <w:numPr>
          <w:ilvl w:val="0"/>
          <w:numId w:val="1"/>
        </w:numPr>
        <w:spacing w:after="60"/>
      </w:pPr>
      <w:r>
        <w:t xml:space="preserve">Debtor days of 235 is a real, material working-capital red flag for a company this small - a long cash-conversion cycle constrains growth funding and raises risk</w:t>
      </w:r>
    </w:p>
    <w:p>
      <w:pPr>
        <w:pStyle w:val="ListParagraph"/>
        <w:numPr>
          <w:ilvl w:val="0"/>
          <w:numId w:val="1"/>
        </w:numPr>
        <w:spacing w:after="60"/>
      </w:pPr>
      <w:r>
        <w:t xml:space="preserve">Director remuneration at ~18% of PAT (FY25, 9M FY26) with only a 'rather vague' CFO explanation when directly questioned - a genuine capital-allocation/governance concern for a company at this scale, not yet satisfactorily resolved</w:t>
      </w:r>
    </w:p>
    <w:p>
      <w:pPr>
        <w:pStyle w:val="ListParagraph"/>
        <w:numPr>
          <w:ilvl w:val="0"/>
          <w:numId w:val="1"/>
        </w:numPr>
        <w:spacing w:after="60"/>
      </w:pPr>
      <w:r>
        <w:t xml:space="preserve">Strategic rationale for entering the more competitive, price-sensitive passenger-automotive-display segment (versus the company's existing defensible niche) was questioned by a community member and not clearly answered in the thread</w:t>
      </w:r>
    </w:p>
    <w:p>
      <w:pPr>
        <w:pStyle w:val="ListParagraph"/>
        <w:numPr>
          <w:ilvl w:val="0"/>
          <w:numId w:val="1"/>
        </w:numPr>
        <w:spacing w:after="60"/>
      </w:pPr>
      <w:r>
        <w:t xml:space="preserve">Capacity expansion plans (Goa facility, ~Rs 20 Cr) funding source was raised as an open question and not directly answered</w:t>
      </w:r>
    </w:p>
    <w:p>
      <w:pPr>
        <w:pStyle w:val="ListParagraph"/>
        <w:numPr>
          <w:ilvl w:val="0"/>
          <w:numId w:val="1"/>
        </w:numPr>
        <w:spacing w:after="60"/>
      </w:pPr>
      <w:r>
        <w:t xml:space="preserve">Extremely short public track record (listed only April 2026) with very limited independent community scrutiny to date (just 10 posts)</w:t>
      </w:r>
    </w:p>
    <w:p>
      <w:pPr>
        <w:pStyle w:val="Heading1"/>
        <w:spacing w:after="120" w:before="280"/>
      </w:pPr>
      <w:r>
        <w:t xml:space="preserve">Market-Cap Tier (informational — not a gate in this project)</w:t>
      </w:r>
    </w:p>
    <w:p>
      <w:pPr>
        <w:spacing w:after="120"/>
      </w:pPr>
      <w:r>
        <w:rPr>
          <w:b/>
          <w:bCs/>
        </w:rPr>
        <w:t xml:space="preserve">Micro-cap (~Rs 91.7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Real small-cap optionality undercut by a cluster of unresolved capital-allocation and strategy questions raised directly by the community</w:t>
      </w:r>
    </w:p>
    <w:p>
      <w:pPr>
        <w:pStyle w:val="ListParagraph"/>
        <w:numPr>
          <w:ilvl w:val="0"/>
          <w:numId w:val="1"/>
        </w:numPr>
        <w:spacing w:after="60"/>
      </w:pPr>
      <w:r>
        <w:t xml:space="preserve">This has the right size and thematic ingredients for a 10x case (tiny market cap, real India-electronics-localization tailwind, strong headline returns), but the community's own direct engagement with management has surfaced several genuine, only partially-answered questions - high debtor days, vague answers on above-average director remuneration, and unclear rationale for both a competitive new market entry and unfunded capex plans</w:t>
      </w:r>
    </w:p>
    <w:p>
      <w:pPr>
        <w:pStyle w:val="ListParagraph"/>
        <w:numPr>
          <w:ilvl w:val="0"/>
          <w:numId w:val="1"/>
        </w:numPr>
        <w:spacing w:after="60"/>
      </w:pPr>
      <w:r>
        <w:t xml:space="preserve">None of these individually is disqualifying, but taken together on a company with essentially no independent track record (listed April 2026, only 10 total thread posts), the disciplined call is 'neither' until management provides clearer answers over the next few quarters</w:t>
      </w:r>
    </w:p>
    <w:p>
      <w:pPr>
        <w:pStyle w:val="ListParagraph"/>
        <w:numPr>
          <w:ilvl w:val="0"/>
          <w:numId w:val="1"/>
        </w:numPr>
        <w:spacing w:after="60"/>
      </w:pPr>
      <w:r>
        <w:t xml:space="preserve">Worth revisiting once debtor days trend improves, the automotive-display rationale is clarified, and the Goa-plant capex funding plan is confirmed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2026-08-22T08:14:54.271Z</dcterms:created>
  <dcterms:modified xsi:type="dcterms:W3CDTF">2026-08-22T08:14:54.274Z</dcterms:modified>
</cp:coreProperties>
</file>

<file path=docProps/custom.xml><?xml version="1.0" encoding="utf-8"?>
<Properties xmlns="http://schemas.openxmlformats.org/officeDocument/2006/custom-properties" xmlns:vt="http://schemas.openxmlformats.org/officeDocument/2006/docPropsVTypes"/>
</file>