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Himatsingka Seide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home-textiles maker (sheeting, terry towels, spun silk) carrying ~2.8x its own market cap in net debt, declining Q1 FY27 revenue, and a cluster of senior-management resignations in 2025 — a HIGH CAUTION balance-sheet/governance story, not the cotton-cycle tailwind play the X lead framed it as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Net debt ~2.7-2.9x market cap, unsuccessful QIP-led deleveraging since 2024, declining Q1 FY27 revenue, and an unexplained cluster of senior-management resignations in 2025 (flagged on the VP thread, never resolved).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Vertically-integrated home-textiles manufacturer (bed/bath linens, terry towels, sheeting) with US/Europe brand licences and manufacturing in India, exporting largely to US big-box retail. Capacity utilisation is uneven across divisions (spinning ~99%, sheeting/terry materially lower).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885-960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~Rs 2,550 Cr — roughly 2.7-2.9x market 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Consolidated income Rs 634 Cr, down from Rs 661 Cr YoY; EBITDA Rs 101 Cr (~16%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 utilisation</w:t>
            </w:r>
          </w:p>
        </w:tc>
        <w:tc>
          <w:tcPr>
            <w:tcW w:type="dxa" w:w="5800"/>
          </w:tcPr>
          <w:p>
            <w:r>
              <w:t xml:space="preserve">Overall ~99%, but sheeting ~52% and terry ~63% (Q1 FY27) — uneven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capital actions</w:t>
            </w:r>
          </w:p>
        </w:tc>
        <w:tc>
          <w:tcPr>
            <w:tcW w:type="dxa" w:w="5800"/>
          </w:tcPr>
          <w:p>
            <w:r>
              <w:t xml:space="preserve">Multiple QIPs (2024, 2025) raised without materially reducing net debt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problem is the balance sheet: ~Rs 2,550 Cr of net debt against a market cap under Rs 1,000 Cr, and Q1 FY27 revenue actually declined YoY. Two rounds of QIP capital-raising since 2024 have not moved the needle on deleveraging, and management's Q2 FY25 concall described a multi-quarter 'brand portfolio recalibration' cutting revenue further. This is a leveraged, cyclical exporter, not the clean cotton-yarn-spread beneficiary the X lead suggested.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balance-sheet and governance concerns take priority over a technical read here.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338, 52 posts, last active May 2025) shows a consistent, unresolved debt narrative: a Nov 2023 post noted management sounding unusually bullish on capacity utilisation targets; by Feb 2024 a poster flagged the QIP's timing was 'contrary to management's tonality'; an Oct 2024 poster ('results have continued to underwhelm... no change in debt situation as cash flows have not supported debt reduction') and a Nov 2024 poster who explicitly exited 'after losing patience on the subject of debt management.' Feb 2025: a poster noted Sunil Singhania/Abakkus had taken a stake (Dec-24 quarter) — the one genuinely bullish signal, though from an unnamed/unverified source, not a named trusted VP user. May 2025 (last post): a poster flagged '4/5 announcements regarding top management resignations in the last month or so' with no resolution on-thread.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Persistently negative on capital discipline; one investor explicitly exited citing debt-management frustration; thread has gone quiet (16 months) right after the management-resignation cluster was raised, unresolved.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 and no stated going-concern qualification found — this is not an AVOID/EXCLUDE case. But the combination of (a) net debt ~2.8x market cap with two unsuccessful QIP-led deleveraging attempts, and (b) a cluster of top-management resignations in 2025 with no explanation surfaced, is treated as HIGH CAUTION under the red-flag rules (governance-adjacent to a promoter-holding-collapse-type concern).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Abakkus/Sunil Singhania reportedly took a stake around Dec-24 quarter — a real (if unverified on-thread) institutional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Spinning division running near-full utilisation; some operating-leverage upside if sheeting/terry utilisation recovers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home-textiles exporter with an established US retail-brand relationship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~2.8x market cap with cash flows that have not supported deleveraging despite two QIPs since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declined YoY; a multi-quarter 'brand recalibration' has been actively cutting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 of senior-management resignations in 2025 with no public explanation, flagged but never resolved on the VP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Sheeting (~52%) and terry (~63%) utilisation well below the spinning division's ~99%, so the operating-leverage bull case is only partly evidenced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900 Cr equity; ~Rs 3,400+ Cr enterprise value including debt)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HIGH CAUTION overrides a normal four_box read, but scored for completeness: tailwind weak (global home-textiles demand is steady, not accelerating). tam no (Rs ~900 Cr equity value entirely a function of a leveraged balance sheet, not growth headroom). moat weak (established brand licences, but eroded by execution/governance issues). valuation no — cheap only because of leverage risk, not a mispricing. Score 1.0 -&gt; neither, hard, independent of the HIGH CAUTION cap.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No live-theme match — 'textile exports' (priority 2) is the closest theme, but the company-specific debt/governance overhang dominates the read, not a cotton-cycle tailwind. four_box score 1.0 -&gt;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(not AVOID/EXCLUDE): ~2.8x-market-cap net debt with two failed deleveraging attempts via QIP, plus an unexplained cluster of 2025 senior-management resignations. Conviction capped at Low-Medium per the HIGH CAUTION rule even before the four_box math.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Low-Medium (the HIGH CAUTION ceiling): the debt overhang and unresolved resignations are more decisive than the Abakkus stake-building signal, which is unverified on-thread. Re-verify only if a concrete deleveraging plan or credible resignation explanation surfaces.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 set (no AVOID/EXCLUDE trigger met), but flagged HIGH CAUTION — see bse_notes.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left false: conviction is not Medium-High/High, so no revisit flag per the standard rule.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2026-09-04T13:37:14.237Z</dcterms:created>
  <dcterms:modified xsi:type="dcterms:W3CDTF">2026-09-04T13:37:14.238Z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