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ITC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Exceptional-quality FMCG/cigarettes/paper/agri conglomerate at ~Rs 3.3 lakh Cr with ~5% revenue growth and a BAT stake-sale overhang -- a stable dividend compounder, not a 10x/100x candidate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ITC is a diversified conglomerate: cigarettes (the profit engine -- Gold Flake, Classic, etc.), branded packaged foods (Aashirvaad, Sunfeast, Bingo!, Yippee!), personal care, paperboards &amp; packaging, agri-business, and (post-demerger) a residual link to ITC Hotels. British American Tobacco holds ~20.3%.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3,29,000 Cr (down ~37% in 1 year)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~39% / ~28-35%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(FY26)</w:t>
            </w:r>
          </w:p>
        </w:tc>
        <w:tc>
          <w:tcPr>
            <w:tcW w:type="dxa" w:w="5800"/>
          </w:tcPr>
          <w:p>
            <w:r>
              <w:t xml:space="preserve">~Rs 78,900 Cr, +5% YoY; operating margin ~34.6%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Net profit (FY26)</w:t>
            </w:r>
          </w:p>
        </w:tc>
        <w:tc>
          <w:tcPr>
            <w:tcW w:type="dxa" w:w="5800"/>
          </w:tcPr>
          <w:p>
            <w:r>
              <w:t xml:space="preserve">~Rs 20,700 Cr; FCF ~Rs 16,300 Cr; dividend payout ~74.5%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Overhang</w:t>
            </w:r>
          </w:p>
        </w:tc>
        <w:tc>
          <w:tcPr>
            <w:tcW w:type="dxa" w:w="5800"/>
          </w:tcPr>
          <w:p>
            <w:r>
              <w:t xml:space="preserve">BAT (~20.3% holder) has said it is considering a further stake reduction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Business quality is outstanding -- ROCE ~39%, ROE in the high-20s to mid-30s, ~35% operating margin, ~Rs 16,300 Cr free cash flow, a ~74% dividend payout. But revenue grew only ~5% in FY26 and the market cap is ~Rs 3.3 lakh Cr. This is a genuine mega-cap.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-- filtered on size/growth at the preliminary stage. Market cap is down ~37% over the year, so valuation has de-rated, but that does not change the thesis-fit math.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Not deep-read this pass. The VP thread is large and long-running (~1,676 posts); the company is filtered at Step 3 on mega-cap size plus ~5% growth, so a full thread read was not warranted.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Not assessed this pass.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red flag. The standing item is the BAT stake-sale overhang -- a supply/technical overhang on the stock, not a business impairment and not a structural inflection.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Elite return profile (ROCE ~39%), ~35% margins, huge free cash flow, ~74% dividend payout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FMCG-Others segment (Aashirvaad, Sunfeast, Bingo!, Yippee!) scaling with improving margins; cigarette volumes resilient under a stable tax regime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De-rated ~37% over the year, so starting valuation is more reasonable than it was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~Rs 3.3 lakh Cr market cap with ~5% revenue growth -- a literal 10x-in-2-3-years or 100x-in-10-years is not on the table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Cigarettes carry perpetual taxation/regulatory risk and ESG exclusion from many funds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BAT stake-sale overhang caps near-term upside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specific named management or structural inflection to trigger the large-cap exception -- 'good business, good management' is explicitly not enough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Mega-cap (~Rs 3,29,000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Best-in-class FMCG-conglomerate economics, but a mega-cap growing ~5% is a dividend compounder, not a screen candidate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live-theme match -- recency discovery (thread bumped 2026-09-01).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Genuine mega-cap: size math makes 'neither' the correct label. The large-cap inflection exception does not apply -- the ITC Hotels demerger is already done, and the BAT stake sale is an overhang, not a new-CEO turnaround or a capital-allocation regime change.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flag. Conviction Low-Medium on quality, but thesis_fit neither; no 30-day revisit. Filtered at Step 3 without a deep thread read.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2026-09-01T14:09:58.686Z</dcterms:created>
  <dcterms:modified xsi:type="dcterms:W3CDTF">2026-09-01T14:09:58.687Z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