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Ind-Swift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Post-restructuring formulations pure-play with a real recent-quarter profit jump — but a related-party debt takeover, inter-group receivables and a 2024 auditor exit cap conviction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Related-party absorption of group-company (Ind-Swift Ltd) ARC debt via the FY26 amalgamation, long-pending ~Rs 275 Cr inter-group receivables from stressed entities, and a statutory-auditor resignation in August 2024.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Ind-Swift Laboratories Ltd (ISLL) sold its API and CRAMS business to Synthimed Labs for ~Rs 1,650 Cr in March 2024 (retaining a ~7.8% stake) and now operates as a finished-dosage-formulations company with R&amp;D at Thane and manufacturing across Punjab, J&amp;K and elsewhere. Ind-Swift Ltd (ISL) was amalgamated into ISLL, effective August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3,138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~4.7% / ROE ~3.9% (trailing, still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 net profit +181% YoY to ~Rs 24.7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Screener shows D/E ~0.03; but the ISL merger transferred ISL's ARC (Edelweiss) debt onto ISLL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 / P/E</w:t>
            </w:r>
          </w:p>
        </w:tc>
        <w:tc>
          <w:tcPr>
            <w:tcW w:type="dxa" w:w="5800"/>
          </w:tcPr>
          <w:p>
            <w:r>
              <w:t xml:space="preserve">Book value ~Rs 159; P/E ~48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87 - 374 (stock has ~4x'd off its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API/CRAMS divestment left ISLL debt-light with cash and a higher-margin formulations focus, and Q1 FY27 profit jumped ~181% YoY — a genuine, specific recent-quarter inflection. Against that: five-year trailing returns are still low (ROCE ~5%, ROE ~4%), the stock has already run ~4x off its 52-week low, and the FY26 merger with group company Ind-Swift Ltd moved ISL's entire Edelweiss-ARC debt onto ISLL's books, a related-party transfer that forum members flagged as not obviously protecting minority holders.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~4x off the 52-week low, near the top of its 52-week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18-post thread 'Research on Ind Swift Laboratories Ltd' (topic 159356), Aug 2024 to Aug 2028-08-28. Early posts set up the pure-play formulations + margin-of-safety-to-book thesis (opener 7 loves). Counter-points from several posters: long-pending inter-group receivables (~Rs 275 Cr from stressed group companies), an investment/loans-and-advances web with group entities, the statutory auditor's resignation in Aug 2024 (company attributes it to 'personal reasons / pre-occupation', auditor states no dispute), no earnings calls, and the ISL-&gt;ISLL debt takeover from Edelweiss ARC. The two most recent posts (Jul-Aug 2026) confirm the merger is legally closed (NCLT Chandigarh, effective 8 Aug 2025; 81,24,698 shares issued to ISL holders) and describe the transition to a net-cash finished-dosage manufacturer with higher gross margins as 'directionally good'.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Discussion is small but substantive and roughly balanced between a cheap-vs-book thesis and governance/related-party concerns.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Statutory auditor (Avishkar Singhal &amp; Associates) resigned in August 2024; company disclosed the reason as personal/pre-occupation with no dispute. Inter-group receivables (~Rs 275 Cr) pending for a long time. ISL debt taken over from Edelweiss ARC as part of the amalgamation.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strategic pivot: API/CRAMS sold for ~Rs 1,650 Cr, retained 7.8% upside, now a higher-margin formulations pure-play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net profit +181% YoY — a specific, recent inflection, not just a trailing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Divestment proceeds cleared most legacy debt; company describes itself as net-cash post-transition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near book value (~Rs 159) on some measures — a margin of safety if the formulations ramp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returns still low (ROCE ~5%, ROE ~4%) — one strong quarter is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amalgamation moved group company Ind-Swift Ltd's entire ARC debt onto ISLL — a related-party transfer forum members say did not clearly protect minority 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Long-pending inter-group receivables (~Rs 275 Cr) from stressed group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Statutory auditor resigned in August 2024; company holds no earnings 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~4x'd off its low and trades at P/E ~48 — much of the re-rating may be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Warrant / share issuance dilution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3,138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post-restructuring inflection, but related-party debt, inter-group receivables and a 2024 auditor exit hold conviction to LOW (unconfirmed)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weak multi-year trailing record combined with a strong, specific recent-quarter improvement (Q1 FY27 PAT +181% YoY) and a credible catalyst (pure-play formulations, net cash) places this in the 10x-in-2-3-years frame per the inflection rule — but explicitly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LOW, not higher: the ISL-&gt;ISLL debt takeover, ~Rs 275 Cr inter-group receivables, an August 2024 auditor resignation and the absence of concalls are real governance overhangs, and the stock has already run ~4x off its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a clean multi-quarter margin trajectory plus initiation of earnings calls would move this toward a genuine candidate; continued related-party leakage would push it to 'neither'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2026-08-29T04:03:12.148Z</dcterms:created>
  <dcterms:modified xsi:type="dcterms:W3CDTF">2026-08-29T04:03:12.149Z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