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 Shelter Finance Corporation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Affordable-housing NBFC with solid fundamentals, but asset quality has started to soften in the most recent quarters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 Shelter Finance is a housing-finance NBFC focused on affordable home loans and loans-against-property for self-employed, low/middle-income borrowers with no formal income proof, operating ~260 branches across 15 states with a Tier 2/3-city emphasis.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7,299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14.4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 CAGR)</w:t>
            </w:r>
          </w:p>
        </w:tc>
        <w:tc>
          <w:tcPr>
            <w:tcW w:type="dxa" w:w="5800"/>
          </w:tcPr>
          <w:p>
            <w:r>
              <w:t xml:space="preserve">37.60%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1.85 (normal for a housing NBFC)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640 - 969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strong growth NBFC (37.6% 5yr revenue CAGR, 17% ROE) at a reasonable 14.4x P/E, but the most recent data point (Q1FY27, reported today) shows AUM growth slowing to sub-25% with rising gross/net stage-3 (NPA) figures — a genuine recent-quarter softening rather than an improvement, the opposite of the project's usual 'hidden inflection' pattern.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(9 posts, Aug 2025-Aug 2026, single batch — thread is small). A detailed initiating fundamental-analysis post from a trusted user (cdas3317) in Aug 2025 was followed by muted activity until Aug 2026, when two posts flagged a real deterioration: 30+ days-past-due at the highest level since listing (5.2%), rising GNPA/NNPA, AUM growth slowing to sub-25%, and a one-time accounting change (recognizing disbursements on cheque realization rather than handover) that shifted some disbursement recognition across quarters.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 cdas3317 (elevated tier) opened the thread with a detailed fundamentals/moat writeup and a management-guidance tracker, and separately flagged as 'risky and worrying' the ~97% promoter-share-pledge figure cited from Screener — though a later poster (Agni, not trusted) said they checked NSE/Tijori directly and found no pledge on record, an unresolved discrepancy.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2025-09-03 — cdas3317</w:t>
      </w:r>
      <w:r>
        <w:rPr>
          <w:i/>
          <w:iCs/>
          <w:color w:val="666666"/>
          <w:sz w:val="18"/>
          <w:szCs w:val="18"/>
        </w:rPr>
        <w:t xml:space="preserve"> (India Shelter Finance)</w:t>
      </w:r>
      <w:r>
        <w:rPr>
          <w:sz w:val="20"/>
          <w:szCs w:val="20"/>
        </w:rPr>
        <w:br/>
        <w:t xml:space="preserve">: Published a management-guidance tracker showing spreads and credit costs roughly on track through Q1FY26, a constructive but measured (not high-conviction) initiating view.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2025-09-03 — cdas3317</w:t>
      </w:r>
      <w:r>
        <w:rPr>
          <w:i/>
          <w:iCs/>
          <w:color w:val="666666"/>
          <w:sz w:val="18"/>
          <w:szCs w:val="18"/>
        </w:rPr>
        <w:t xml:space="preserve"> (India Shelter Finance)</w:t>
      </w:r>
      <w:r>
        <w:rPr>
          <w:sz w:val="20"/>
          <w:szCs w:val="20"/>
        </w:rPr>
        <w:br/>
        <w:t xml:space="preserve">: Flagged a ~97% promoter share-pledge figure sourced from Screener as risky/worrying, the highest among affordable-housing-finance peers — though a later, non-trusted poster disputed finding any pledge on NSE/Tijori records.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historical growth (37.6% 5yr revenue CAGR) in an underserved affordable-housing-finance niche with reasonable valuation (14.4x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Detailed underwriting processes (field visits, digital income-assessment tech) for a no-formal-income-proof borrower base, per the trusted initiating writeup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cost guidance (~40-50 bps) was being met as of Q1FY26 per the community tracker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quarter (Q1FY27, just reported) shows real asset-quality softening: 30+DPD at a post-listing high of 5.2%, rising gross/net stage-3, and AUM growth slowing to sub-25%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one-time change in disbursement-recognition methodology (cheque realization vs. handover) makes recent quarterly comparisons noisier and warrants a clean quarter or two before trusting the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Disputed and unresolved promoter-pledge figure (97% per one source, zero per another) — a data-quality flag on its own even before judging materiality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mature, already-listed NBFC growing AUM in the 20-25% range, not an early-stage compounder — a 10x/100x thesis is a stretch versus 'a solid quality holding'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7,299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reasonably-valued affordable-housing NBFC, but recent-quarter asset quality is moving the wrong way and growth has already decelerated to a mature-company 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the project's usual 'hidden inflection' pattern, here the recent-quarter data is weaker than the trailing average (rising DPD/NPA, slowing AUM growth), which argues against escalating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20-25% AUM growth and 17% ROE, this reads as a good-quality NBFC holding rather than a 10x-in-2-3-years or 100x-in-10-years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unresolved promoter-pledge discrepancy is a data-integrity question worth someone verifying directly against the exchange filing before it affects conviction either way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2026-08-26T17:12:18.111Z</dcterms:created>
  <dcterms:modified xsi:type="dcterms:W3CDTF">2026-08-26T17:12:18.112Z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