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Inventurus Knowledge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 high-ROE US healthcare-outsourcing platform with a genuinely thoughtful bull/bear TAM debate — but growth has decelerated to market rate right as the company scales into large-cap territory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IKS (formerly IKS Health) is a technology-enabled healthcare solutions provider serving physician enterprises in the US, Canada, and Australia — combining a care-enablement platform (documentation, coding, revenue-cycle-management) with an AI layer, co-promoted at IPO by the late Rakesh Jhunjhunwala. It has made two sizeable acquisitions: AQuity Solutions (Oct 2023) and, most recently, TruBridge (announced Apr 2026, closing mid-2026), which adds EHR technology for small hospitals.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30,645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1,262 - Rs 1,933 (as of 21-Aug-2026)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Average ROCE</w:t>
            </w:r>
          </w:p>
        </w:tc>
        <w:tc>
          <w:tcPr>
            <w:tcW w:type="dxa" w:w="5800"/>
          </w:tcPr>
          <w:p>
            <w:r>
              <w:t xml:space="preserve">24.57%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Average ROE</w:t>
            </w:r>
          </w:p>
        </w:tc>
        <w:tc>
          <w:tcPr>
            <w:tcW w:type="dxa" w:w="5800"/>
          </w:tcPr>
          <w:p>
            <w:r>
              <w:t xml:space="preserve">27.21%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to Equity</w:t>
            </w:r>
          </w:p>
        </w:tc>
        <w:tc>
          <w:tcPr>
            <w:tcW w:type="dxa" w:w="5800"/>
          </w:tcPr>
          <w:p>
            <w:r>
              <w:t xml:space="preserve">0.42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FY27Q1 (Aug 2026 report)</w:t>
            </w:r>
          </w:p>
        </w:tc>
        <w:tc>
          <w:tcPr>
            <w:tcW w:type="dxa" w:w="5800"/>
          </w:tcPr>
          <w:p>
            <w:r>
              <w:t xml:space="preserve">Revenue +12% YoY in constant currency — in line with overall market growth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trailing return ratios (ROCE 24.57%, ROE 27.21%) and a quality-grade upgrade from 'good' to 'excellent' per one source. However, the most recent quarter (FY27Q1, reported 06-Aug-2026) shows constant-currency revenue growth of just 12% YoY — explicitly described in the thread as 'growing at the same rate as the overall market,' i.e., not outperforming — with EBITDA margin declining from 35% to 33% due to TruBridge acquisition-related expenses. This is a deceleration from the more aggressive growth narrative earlier in the thread, not an acceleration.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— no browser escalation triggered.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full available thread (42 of 42 posts, spanning Jul 2025 to Aug 2026). This is a genuinely substantive, well-argued thread with real bull/bear debate on TAM sizing — one poster (rks00, love=15 on his rebuttal) directly debunked a widely-repeated '90x growth opportunity' figure as a media misquote, while multiple posters worked through bottoms-up ARPU and outsourcing-penetration math to arrive at more grounded (though still large) addressable-market estimates. Early insider selling was flagged and partly explained as post-IPO ESOP liquidity rather than a red flag.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james_kerala (trusted, elevated-tier) posted a 'great results' update with disclosed 1% holding in Feb 2026 — a real but modest position, not a concentrated bet. No large or newly-escalating trusted conviction was found in this thread; the most substantive analytical voices (rks00, anna, Shams_Rizvi) are not on the project's trusted-user roster.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2026-02-04 — james_kerala (trusted, elevated-tier)</w:t>
      </w:r>
      <w:r>
        <w:rPr>
          <w:i/>
          <w:iCs/>
          <w:color w:val="666666"/>
          <w:sz w:val="18"/>
          <w:szCs w:val="18"/>
        </w:rPr>
        <w:t xml:space="preserve"> (Inventurus Knowledge Solutions company thread)</w:t>
      </w:r>
      <w:r>
        <w:rPr>
          <w:sz w:val="20"/>
          <w:szCs w:val="20"/>
        </w:rPr>
        <w:br/>
        <w:t xml:space="preserve">: Posted a positive quarterly-results update disclosing a 1% holding — a real but modest, non-concentrated position.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SEBI/regulatory action found. Insider selling by early employees/designated insiders was flagged post-IPO but attributed largely to ESOP liquidity events rather than a red flag.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trailing return ratios (ROCE 24.57%, ROE 27.21%) with a quality-grade upgrade to 'excellent'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Genuinely sticky platform business model (full-stack documentation/coding/RCM bundle) that the thread argues is defensible against AI disruption due to regulatory complexity and integration depth, not just incumbency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cross-sell optionality across 500 enterprise physician-group customers already on the AQuity platform, and a new TruBridge acquisition opening a hospital-EHR adjacency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TAM debate, while contested, still implies multi-year secular growth in US healthcare-outsourcing even under the more conservative bottoms-up estimates worked out in the thread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recent quarter (FY27Q1) grew only 12% YoY in constant currency — explicitly 'the same rate as the overall market' rather than outperforming, alongside a margin decline from acquisition costs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30,645 Cr, this is now a large, upper-mid-to-large-cap company; a genuine 10x from here would require an implausible ~Rs 300,000+ Cr valuation within the project's horizon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concentration is rising (top 10 clients ~44-45% of revenue), a real structural risk the thread itself flags as 'not a great sign'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original bullish '90x growth opportunity' figure widely cited for this stock was directly debunked in the thread as a media misquote of a 90x IPO oversubscription — the actual TAM math is far more modest once properly worked through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high-quality, well-debated business, but growth has decelerated to market-rate right as it scales past the size where a 10x outcome is plausible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are real and strong (ROE 27%, ROCE 24.5%, quality-grade upgrade), and the community debate is unusually rigorous and self-correcting (the TAM-inflation claim was caught and corrected within the thread itself).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most recent quarter shows deceleration to market-rate growth (12% YoY CC) rather than the acceleration this project's methodology looks for, and margin is under near-term pressure from acquisition integration.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30,645 Cr, the company has already scaled into large-cap territory, and per this project's own methodology the 'recent quarter can override a weak trailing average' exception is intended for smaller companies with a specific, credible catalyst — a market-rate growth quarter at this size doesn't clear that bar.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Trusted signal here is real but modest (a disclosed 1% holding, not a concentrated bet), so no floor applies. Conviction set to Medium reflecting genuine business quality without a fit for this project's extreme-return mandate; thesis_fit is 'neither'.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2026-08-23T03:36:11.965Z</dcterms:created>
  <dcterms:modified xsi:type="dcterms:W3CDTF">2026-08-23T03:36:11.965Z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