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Jayaswal Neco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Integrated Nagpur-Chhattisgarh steel/pig-iron/casting group turning profitable on a freshly-approved iron-ore mine expansion, clouded by an unrelated sister-company defence-export controversy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JNIL (flagship of the Neco Group, promoted by Basant Lall Shaw and the Jayaswal family) makes billets, rolled products, pig iron &amp; skull, sponge iron, pellets, steel and iron &amp; steel castings from an integrated Siltara (Raipur, Chhattisgarh) facility with captive iron-ore mining and captive power. Also has a rolling-mill business serving auto customers, currently running at low utilisation.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8,642 Cr (thread's own figure at Rs70 CMP was Rs6,800 Cr in Mar-2026 — stock has re-rated since)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9.28% / 14.71%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1.42, EV Rs9,100cr vs Rs1,800cr debt (per thread) — leveraged but reducing; 0% promoter pledge, no new encumbrances confirmed (Apr-2026 filing)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10.56% (vs industry median 8.15%); profit CAGR 23.2% over 5yr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turnaround</w:t>
            </w:r>
          </w:p>
        </w:tc>
        <w:tc>
          <w:tcPr>
            <w:tcW w:type="dxa" w:w="5800"/>
          </w:tcPr>
          <w:p>
            <w:r>
              <w:t xml:space="preserve">Q1 FY26 PAT Rs93.02cr vs Q1 FY25 PAT -Rs31.68cr (loss to profit); Q4 (per thread) profit jumped Rs75cr(Q3)-&gt;Rs191cr(Q4); EBITDA margin 19.37% in Q1FY26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57.7 - 117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classic weak-trailing-average/live-inflection setup: modest 5yr ROE (9.28%) and real leverage (D/E 1.42), but the most recent 4 quarters show a genuine turnaround (loss to profit YoY, sequential profit more than doubling) coinciding with a freshly secured iron-ore mine expansion environmental clearance (2.95 to 6 MnTPA) that the forum thread explicitly frames as 'the trigger playing out as expected.' Rs200 Cr warrant issue approved for a 1.5 MT pellet plant + facility upgrades signals management is funding the next leg.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Thread's most recent post (Sept-2026) reads the stock as 'turning around after base building' with an 82-92 support zone, arguing the recent news-driven dip (see governance note below) is unlikely to break that base absent actual business impact — not independently verified via TradingView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8 posts of this new (Mar-Sep 2026) thread. Arc: initiation with a detailed capacity/trigger thesis (19 loves) -&gt; iron-ore mine EC approval confirmed in two follow-ups (Mar/Apr-2026) -&gt; Q4 earnings called 'excellent'/'superlative' -&gt; a Sept-2026 post addressing a fresh sister-company controversy and arguing no fundamental impact.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richbandit (trusted, elevated) asked pointed operational questions (low rolling-mill utilisation, why pig iron is sold in the open market instead of feeding rolling mills, ramp-up timeline) that remain only partially answered in-thread — a genuine, not fully resolved, execution-quality question. Thread originator aashav23 (not trusted, but highest-loved post at 19) laid out the capacity-trigger thesis that has since played out (EC approved as anticipated).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2026-04-07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 beyond the promoter-pledge filing already cited.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recent turnaround: Q1 FY26 swung from a Rs31.68cr loss to a Rs93.02cr profit YoY, with EBITDA margin at 19.37%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Iron-ore mine expansion EC (2.95 to 6 MnTPA) is now approved, not speculative — a real, near-term capacity catalyst the thread correctly anticipated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governance signal on the specific pledge dimension: 0% promoter shares pledged, no new encumbrances filed as of Apr-2026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Rs200 Cr warrant issue funds a 1.5 MT pellet plant and facility upgrades — management actively reinvesting into the upcycle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of 1.42 is real leverage for a commodity cyclical business — the turnaround needs to sustain through a cycle, not just one good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Rolling-mill utilisation has been persistently low (an unresolved question a trusted user raised in-thread) — pig iron is being sold in the open market rather than feeding downstream capacity, suggesting a product-mix/execution gap that management hasn't clearly addressed publicly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 reputational/governance overhang: Neco Defence Munitions — described by a forum poster as a sister company, not a subsidiary, of JNIL — is at the center of a ~EUR70 million Estonian ammunition-supply dispute (via its Italian unit Datasel SRL) serious enough to trigger the Estonian defence minister's resignation (Sep-2026); JNIL has issued a clarification distancing itself, and the dispute is now in international arbitration, but the cross-group reputational read-through for a family-promoter-group company is a real, unresolved risk worth monitoring even though it does not meet this screen's formal red-flag criteria (not JNIL itself, not a SEBI/fraud finding)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in the current active_themes.json set — this is a plain commodity-steel discovery candidate, not a thematic tailwind play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8,642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iron-ore mine EC expansion (2.95-&gt;6 MnTPA) is a real, already-approved near-term capacity catalyst confirmed twice in-thread. TAM weak: domestic steel/pig-iron/casting is a large but commoditised, cyclical market with no differentiated demand tailwind beyond general capacity growth. Moat weak: captive iron-ore mining + backward integration (pig iron-&gt;billets-&gt;rolling) is a real cost-structure advantage but the business remains a price-taking commodity producer overall. Valuation yes: Rs8,642cr cap against a Q1FY26 annualised run-rate (~Rs93cr/qtr, improving) implies a reasonable multiple for the delivered turnaround, not a stretched one.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earnings-turnaround-plus-capacity-trigger story, kept at unconfirmed/Medium conviction given leverage and an unresolved sister-company reputational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— recency/discovery candidate (discover.py), not a thematic hit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Trailing-average-vs-live-inflection rule applied: weak 5yr ROE/leverage profile but a genuine recent-quarter inflection (loss to profit, EBITDA margin recovery) plus a real, already-approved capacity catalyst (iron-ore mine EC) — permits a 10x label at capped conviction with an 'unconfirmed' caveat, per the specific rule for this pattern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3.0 (tailwind yes, valuation yes, tam/moat weak) independently clears the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capped at Medium given (a) real leverage (D/E 1.42) in a cyclical commodity business, (b) an unresolved rolling-mill-utilisation execution question raised by a trusted user, and (c) the unresolved Neco Defence Munitions/Estonia arbitration overhang on a sister entity within the same promoter group — treated as a caution flag, not a formal red flag, since it doesn't implicate JNIL itself under the defined AVOID/EXCLUDE criteria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2026-09-05T13:15:17.849Z</dcterms:created>
  <dcterms:modified xsi:type="dcterms:W3CDTF">2026-09-05T13:15:17.855Z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