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KDDL Ltd</w:t>
      </w:r>
    </w:p>
    <w:p>
      <w:pPr>
        <w:pBdr>
          <w:bottom w:val="single" w:color="CCCCCC" w:sz="6" w:space="8"/>
        </w:pBdr>
        <w:spacing w:after="200"/>
      </w:pPr>
      <w:r>
        <w:rPr>
          <w:i/>
          <w:iCs/>
          <w:color w:val="666666"/>
          <w:sz w:val="22"/>
          <w:szCs w:val="22"/>
        </w:rPr>
        <w:t xml:space="preserve">Watch-components manufacturer with a strong growth story via associate Ethos, clouded by repeated community governance concerns and a trusted user's exit</w:t>
      </w:r>
    </w:p>
    <w:p>
      <w:pPr>
        <w:shd w:fill="FFF0F0" w:val="clear"/>
        <w:spacing w:after="200"/>
      </w:pPr>
      <w:r>
        <w:rPr>
          <w:b/>
          <w:bCs/>
          <w:color w:val="B8860B"/>
          <w:sz w:val="22"/>
          <w:szCs w:val="22"/>
        </w:rPr>
        <w:t xml:space="preserve">RED FLAG TIER: HIGH CAUTION — </w:t>
      </w:r>
      <w:r>
        <w:rPr>
          <w:sz w:val="20"/>
          <w:szCs w:val="20"/>
        </w:rPr>
        <w:t xml:space="preserve">A trusted community member exited the position explicitly citing management credibility concerns (Silvercity/Favre Leuba deal structure, reduced concall frequency); a separate trusted user independently flagged a buyback-timing pattern that 'felt rigged.' Reported ROE is also notably low and inconsistent for the stated growth profile.</w:t>
      </w:r>
    </w:p>
    <w:p>
      <w:pPr>
        <w:pStyle w:val="Heading1"/>
        <w:spacing w:after="120" w:before="280"/>
      </w:pPr>
      <w:r>
        <w:t xml:space="preserve">Business Overview</w:t>
      </w:r>
    </w:p>
    <w:p>
      <w:pPr>
        <w:spacing w:after="120"/>
      </w:pPr>
      <w:r>
        <w:t xml:space="preserve">KDDL manufactures watch dials, hands and precision components; through associate/subsidiary Ethos and Silvercity it also operates India's largest luxury watch retail chain plus the newly-acquired Favre Leuba Swiss watch brand.</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4,926 Cr</w:t>
            </w:r>
          </w:p>
        </w:tc>
      </w:tr>
      <w:tr>
        <w:tc>
          <w:tcPr>
            <w:tcW w:type="dxa" w:w="3200"/>
            <w:shd w:fill="F2F2F2" w:val="clear"/>
          </w:tcPr>
          <w:p>
            <w:r>
              <w:rPr>
                <w:b/>
                <w:bCs/>
              </w:rPr>
              <w:t xml:space="preserve">ROCE</w:t>
            </w:r>
          </w:p>
        </w:tc>
        <w:tc>
          <w:tcPr>
            <w:tcW w:type="dxa" w:w="5800"/>
          </w:tcPr>
          <w:p>
            <w:r>
              <w:t xml:space="preserve">21.75%</w:t>
            </w:r>
          </w:p>
        </w:tc>
      </w:tr>
      <w:tr>
        <w:tc>
          <w:tcPr>
            <w:tcW w:type="dxa" w:w="3200"/>
            <w:shd w:fill="F2F2F2" w:val="clear"/>
          </w:tcPr>
          <w:p>
            <w:r>
              <w:rPr>
                <w:b/>
                <w:bCs/>
              </w:rPr>
              <w:t xml:space="preserve">ROE</w:t>
            </w:r>
          </w:p>
        </w:tc>
        <w:tc>
          <w:tcPr>
            <w:tcW w:type="dxa" w:w="5800"/>
          </w:tcPr>
          <w:p>
            <w:r>
              <w:t xml:space="preserve">8.32-11.8% (conflicting/low across sources)</w:t>
            </w:r>
          </w:p>
        </w:tc>
      </w:tr>
      <w:tr>
        <w:tc>
          <w:tcPr>
            <w:tcW w:type="dxa" w:w="3200"/>
            <w:shd w:fill="F2F2F2" w:val="clear"/>
          </w:tcPr>
          <w:p>
            <w:r>
              <w:rPr>
                <w:b/>
                <w:bCs/>
              </w:rPr>
              <w:t xml:space="preserve">Revenue growth</w:t>
            </w:r>
          </w:p>
        </w:tc>
        <w:tc>
          <w:tcPr>
            <w:tcW w:type="dxa" w:w="5800"/>
          </w:tcPr>
          <w:p>
            <w:r>
              <w:t xml:space="preserve">30.3% FY26; 20.82% 5yr CAGR</w:t>
            </w:r>
          </w:p>
        </w:tc>
      </w:tr>
      <w:tr>
        <w:tc>
          <w:tcPr>
            <w:tcW w:type="dxa" w:w="3200"/>
            <w:shd w:fill="F2F2F2" w:val="clear"/>
          </w:tcPr>
          <w:p>
            <w:r>
              <w:rPr>
                <w:b/>
                <w:bCs/>
              </w:rPr>
              <w:t xml:space="preserve">Debt/Equity</w:t>
            </w:r>
          </w:p>
        </w:tc>
        <w:tc>
          <w:tcPr>
            <w:tcW w:type="dxa" w:w="5800"/>
          </w:tcPr>
          <w:p>
            <w:r>
              <w:t xml:space="preserve">8% (low)</w:t>
            </w:r>
          </w:p>
        </w:tc>
      </w:tr>
      <w:tr>
        <w:tc>
          <w:tcPr>
            <w:tcW w:type="dxa" w:w="3200"/>
            <w:shd w:fill="F2F2F2" w:val="clear"/>
          </w:tcPr>
          <w:p>
            <w:r>
              <w:rPr>
                <w:b/>
                <w:bCs/>
              </w:rPr>
              <w:t xml:space="preserve">52-week range</w:t>
            </w:r>
          </w:p>
        </w:tc>
        <w:tc>
          <w:tcPr>
            <w:tcW w:type="dxa" w:w="5800"/>
          </w:tcPr>
          <w:p>
            <w:r>
              <w:t xml:space="preserve">Rs 1,976.25 - 3,756.70</w:t>
            </w:r>
          </w:p>
        </w:tc>
      </w:tr>
    </w:tbl>
    <w:p>
      <w:pPr>
        <w:spacing w:after="100"/>
      </w:pPr>
    </w:p>
    <w:p>
      <w:pPr>
        <w:spacing w:after="120"/>
      </w:pPr>
      <w:r>
        <w:t xml:space="preserve">Strong revenue growth and reasonable ROCE, but ROE readings are notably low/inconsistent across sources for a company with this growth profile - worth independent verification.</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most recent 50 of 209 posts (Nov 2024 to July 2026); this thread is predominantly about associate Ethos Ltd's retail operations rather than KDDL's own manufacturing business, reflecting the two entities' tightly linked market narrative.</w:t>
      </w:r>
    </w:p>
    <w:p>
      <w:pPr>
        <w:spacing w:after="120"/>
      </w:pPr>
      <w:r>
        <w:rPr>
          <w:b/>
          <w:bCs/>
          <w:sz w:val="20"/>
          <w:szCs w:val="20"/>
        </w:rPr>
        <w:t xml:space="preserve">High-conviction call from a top contributor: </w:t>
      </w:r>
      <w:r>
        <w:rPr>
          <w:sz w:val="20"/>
          <w:szCs w:val="20"/>
        </w:rPr>
        <w:t xml:space="preserve">vikasbargale (trusted) explicitly flagged a buyback-timing concern (Nov 2024): the stock ran up to Rs 3,700 just before a buyback then fell to Rs 2,400 afterward, which 'felt like the price was rigged up' for promoters to exit at a favorable price - while stressing this was legal. Samarth_Nagpal (trusted) was a consistent bull through early-mid 2025 (explicit 'Invested &amp; Biased' disclosures) tracking new store openings and the Favre Leuba brand relaunch, but by Jan 2026 he too flagged 'tepid' expansion and management's 'little indifference towards minority shareholders' via reduced concall frequency. Most significant: Marathondreams (trusted) EXITED the position in Jan 2026 after ~1.5 years, citing the Silvercity/Favre Leuba 'fiasco' as evidence 'management is playing games with minority investors.' Positive counterweight: GST 2.0 removed the 28% luxury-watch surcharge (net tailwind per multiple posters) and an India-Switzerland FTA will phase out a 22% import duty over 7 years - both real, dated, structural margin catalysts for Ethos/KDDL's Swiss-watch retail business.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2026-01-06 — Marathondreams</w:t>
      </w:r>
      <w:r>
        <w:rPr>
          <w:i/>
          <w:iCs/>
          <w:color w:val="666666"/>
          <w:sz w:val="18"/>
          <w:szCs w:val="18"/>
        </w:rPr>
        <w:t xml:space="preserve"> (KDDL (Ethos Watches) - Scalable business model at an inflection point?)</w:t>
      </w:r>
      <w:r>
        <w:rPr>
          <w:sz w:val="20"/>
          <w:szCs w:val="20"/>
        </w:rPr>
        <w:br/>
        <w:t xml:space="preserve">: EXITED after ~1.5yr hold: "Promoters have habit of talking big numbers but these are not backed by results... Silvercity/Favre Leuba fiasco... management is playing games with minority investors... this company too disappointed its investors." (post #207) - governance-driven exit, not thesis failure.</w:t>
      </w:r>
    </w:p>
    <w:p>
      <w:pPr>
        <w:spacing w:after="100"/>
      </w:pPr>
      <w:r>
        <w:rPr>
          <w:b/>
          <w:bCs/>
          <w:sz w:val="20"/>
          <w:szCs w:val="20"/>
        </w:rPr>
        <w:t xml:space="preserve">2025-04-14 — Samarth_Nagpal</w:t>
      </w:r>
      <w:r>
        <w:rPr>
          <w:i/>
          <w:iCs/>
          <w:color w:val="666666"/>
          <w:sz w:val="18"/>
          <w:szCs w:val="18"/>
        </w:rPr>
        <w:t xml:space="preserve"> (KDDL (Ethos Watches) - Scalable business model at an inflection point?)</w:t>
      </w:r>
      <w:r>
        <w:rPr>
          <w:sz w:val="20"/>
          <w:szCs w:val="20"/>
        </w:rPr>
        <w:br/>
        <w:t xml:space="preserve">: Repeated "Disc: Invested &amp; Biased in Ethos" across multiple posts (#187, #195) tracking store expansion, Favre Leuba brand revival, and GST 2.0 impact.</w:t>
      </w:r>
    </w:p>
    <w:p>
      <w:pPr>
        <w:pStyle w:val="Heading1"/>
        <w:spacing w:after="120" w:before="280"/>
      </w:pPr>
      <w:r>
        <w:t xml:space="preserve">BSE Corporate Actions / Other Red Flags</w:t>
      </w:r>
    </w:p>
    <w:p>
      <w:pPr>
        <w:spacing w:after="120"/>
      </w:pPr>
      <w:r>
        <w:t xml:space="preserve">Not checked.</w:t>
      </w:r>
    </w:p>
    <w:p>
      <w:pPr>
        <w:pStyle w:val="Heading1"/>
        <w:spacing w:after="120" w:before="280"/>
      </w:pPr>
      <w:r>
        <w:t xml:space="preserve">Bull Case</w:t>
      </w:r>
    </w:p>
    <w:p>
      <w:pPr>
        <w:pStyle w:val="ListParagraph"/>
        <w:numPr>
          <w:ilvl w:val="0"/>
          <w:numId w:val="1"/>
        </w:numPr>
        <w:spacing w:after="60"/>
      </w:pPr>
      <w:r>
        <w:t xml:space="preserve">GST 2.0 rate rationalization and the India-Switzerland FTA (phasing out a 22% import duty over 7 years) are both real, already-legislated structural tailwinds for the watch-retail margin structure</w:t>
      </w:r>
    </w:p>
    <w:p>
      <w:pPr>
        <w:pStyle w:val="ListParagraph"/>
        <w:numPr>
          <w:ilvl w:val="0"/>
          <w:numId w:val="1"/>
        </w:numPr>
        <w:spacing w:after="60"/>
      </w:pPr>
      <w:r>
        <w:t xml:space="preserve">Consistent 20%+ revenue growth (30.3% FY26) with low leverage (8% D/E)</w:t>
      </w:r>
    </w:p>
    <w:p>
      <w:pPr>
        <w:pStyle w:val="ListParagraph"/>
        <w:numPr>
          <w:ilvl w:val="0"/>
          <w:numId w:val="1"/>
        </w:numPr>
        <w:spacing w:after="60"/>
      </w:pPr>
      <w:r>
        <w:t xml:space="preserve">Favre Leuba brand acquisition (exclusive India retailing plus KDDL's global distribution rights) is a genuine new growth vector, still early in monetization</w:t>
      </w:r>
    </w:p>
    <w:p>
      <w:pPr>
        <w:pStyle w:val="Heading1"/>
        <w:spacing w:after="120" w:before="280"/>
      </w:pPr>
      <w:r>
        <w:t xml:space="preserve">Bear Case / Key Risks</w:t>
      </w:r>
    </w:p>
    <w:p>
      <w:pPr>
        <w:pStyle w:val="ListParagraph"/>
        <w:numPr>
          <w:ilvl w:val="0"/>
          <w:numId w:val="1"/>
        </w:numPr>
        <w:spacing w:after="60"/>
      </w:pPr>
      <w:r>
        <w:t xml:space="preserve">A trusted community member explicitly exited the position (Jan 2026) after 1.5 years citing management credibility concerns around the Silvercity/Favre Leuba deal structure</w:t>
      </w:r>
    </w:p>
    <w:p>
      <w:pPr>
        <w:pStyle w:val="ListParagraph"/>
        <w:numPr>
          <w:ilvl w:val="0"/>
          <w:numId w:val="1"/>
        </w:numPr>
        <w:spacing w:after="60"/>
      </w:pPr>
      <w:r>
        <w:t xml:space="preserve">A separate trusted user flagged a buyback-timing pattern that 'felt rigged' even while acknowledging its legality</w:t>
      </w:r>
    </w:p>
    <w:p>
      <w:pPr>
        <w:pStyle w:val="ListParagraph"/>
        <w:numPr>
          <w:ilvl w:val="0"/>
          <w:numId w:val="1"/>
        </w:numPr>
        <w:spacing w:after="60"/>
      </w:pPr>
      <w:r>
        <w:t xml:space="preserve">Reduced concall frequency (moved to twice-yearly) is a repeated, multi-poster governance/communication concern</w:t>
      </w:r>
    </w:p>
    <w:p>
      <w:pPr>
        <w:pStyle w:val="ListParagraph"/>
        <w:numPr>
          <w:ilvl w:val="0"/>
          <w:numId w:val="1"/>
        </w:numPr>
        <w:spacing w:after="60"/>
      </w:pPr>
      <w:r>
        <w:t xml:space="preserve">Reported ROE (8.3-11.8%) is notably weak relative to the growth profile and inconsistent across sources</w:t>
      </w:r>
    </w:p>
    <w:p>
      <w:pPr>
        <w:pStyle w:val="ListParagraph"/>
        <w:numPr>
          <w:ilvl w:val="0"/>
          <w:numId w:val="1"/>
        </w:numPr>
        <w:spacing w:after="60"/>
      </w:pPr>
      <w:r>
        <w:t xml:space="preserve">Store-opening execution has repeatedly lagged stated targets (14 of 25 planned stores in FY25, per community tracking)</w:t>
      </w:r>
    </w:p>
    <w:p>
      <w:pPr>
        <w:pStyle w:val="Heading1"/>
        <w:spacing w:after="120" w:before="280"/>
      </w:pPr>
      <w:r>
        <w:t xml:space="preserve">Market-Cap Tier (informational — not a gate in this project)</w:t>
      </w:r>
    </w:p>
    <w:p>
      <w:pPr>
        <w:spacing w:after="120"/>
      </w:pPr>
      <w:r>
        <w:rPr>
          <w:b/>
          <w:bCs/>
        </w:rPr>
        <w:t xml:space="preserve">Mid-cap (~Rs 4,926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Real structural tailwinds (GST 2.0, FTA duty phase-out) are undercut by a cluster of community-flagged governance concerns, including a trusted user's outright exit</w:t>
      </w:r>
    </w:p>
    <w:p>
      <w:pPr>
        <w:pStyle w:val="ListParagraph"/>
        <w:numPr>
          <w:ilvl w:val="0"/>
          <w:numId w:val="1"/>
        </w:numPr>
        <w:spacing w:after="60"/>
      </w:pPr>
      <w:r>
        <w:t xml:space="preserve">A trusted user's explicit exit, corroborated by a second trusted user's independent buyback-timing suspicion and a third's note on reduced shareholder communication, is a meaningful pattern, not an isolated complaint</w:t>
      </w:r>
    </w:p>
    <w:p>
      <w:pPr>
        <w:pStyle w:val="ListParagraph"/>
        <w:numPr>
          <w:ilvl w:val="0"/>
          <w:numId w:val="1"/>
        </w:numPr>
        <w:spacing w:after="60"/>
      </w:pPr>
      <w:r>
        <w:t xml:space="preserve">The GST/FTA tailwinds are real but external to management execution, which is exactly what the community is questioning</w:t>
      </w:r>
    </w:p>
    <w:p>
      <w:pPr>
        <w:pStyle w:val="ListParagraph"/>
        <w:numPr>
          <w:ilvl w:val="0"/>
          <w:numId w:val="1"/>
        </w:numPr>
        <w:spacing w:after="60"/>
      </w:pPr>
      <w:r>
        <w:t xml:space="preserve">Weak, inconsistent ROE data compounds rather than offsets the governance concern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2026-08-23T15:39:07.098Z</dcterms:created>
  <dcterms:modified xsi:type="dcterms:W3CDTF">2026-08-23T15:39:07.099Z</dcterms:modified>
</cp:coreProperties>
</file>

<file path=docProps/custom.xml><?xml version="1.0" encoding="utf-8"?>
<Properties xmlns="http://schemas.openxmlformats.org/officeDocument/2006/custom-properties" xmlns:vt="http://schemas.openxmlformats.org/officeDocument/2006/docPropsVTypes"/>
</file>