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KPI Green Energy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Renewable-energy IPP/EPC near a 52-week low on margin pressure, sitting on a large land bank and 7 GW order book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KPI Green Energy develops and operates renewable energy (solar/wind) projects, both as an independent power producer and EPC contractor, with an installed capacity of 2.5 GW and stated plans to scale beyond 10 GW by 2030.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6,344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17.4%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1.71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 target</w:t>
            </w:r>
          </w:p>
        </w:tc>
        <w:tc>
          <w:tcPr>
            <w:tcW w:type="dxa" w:w="5800"/>
          </w:tcPr>
          <w:p>
            <w:r>
              <w:t xml:space="preserve">40-50% revenue CAGR through FY30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335.6 - 562.6 (near the low, down ~40% from peak)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Solid ROE (17.4%) and an aggressive but management-stated growth target (40-50% CAGR to FY30), offset by meaningful leverage (D/E 1.71, typical for a capital-intensive IPP model) and a stock that has corrected ~40% from its peak on margin pressure.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317 posts (single batch, no escalation). Only 2 posts in the fetched window are from the current period (Aug 2026), both raising the same open question: is the recent margin pressure temporary or structural.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Ravi_Narsingani (Aug 2026) asked directly whether the margin pressure in the KP group's latest results is a one-off or a continuing trend -- unanswered at time of read. Paulbiplab (Aug 2026) noted the stock is near its 52-week low, down ~40% from peak, but argued execution timing (not fundamentals) explains the decline, pointing to the large land bank and 7 GW order book as still-intact underlying value, and asked the community if anything else is being missed.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 GW order book and a large land bank provide substantial multi-year growth visibility if execution timing normalizes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17.4% ROE and an explicit 40-50% revenue CAGR target through FY30 are attractive if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already corrected ~40% from its peak -- some bad news may already be priced in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Open, unresolved community question about whether recent margin pressure is temporary or structural -- no clear answer from management yet per the 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of 1.71 is meaningful leverage for a business whose margins are currently under visible pressure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is near a 52-week low with the community itself uncertain whether this is a buying opportunity or an early warning sign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6,344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Large order book intact, but unresolved margin-pressure questions and real leverage keep this speculative for now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7 GW order book and aggressive stated growth target keep this in the 10x-in-2-3-years bucket, and the ~40% correction means downside may be partially priced in already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this is a live, unresolved community question (temporary vs. structural margin pressure) rather than a confirmed inflection, and the leverage level adds real execution risk if margins stay compressed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to low-medium pending clarity on the margin trend in the next 1-2 quarters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2026-08-25T03:18:06.191Z</dcterms:created>
  <dcterms:modified xsi:type="dcterms:W3CDTF">2026-08-25T03:18:06.191Z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