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Kama Holdings Limited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Listed holding company for a ~50% stake in SRF Ltd, trading at a ~78-85% holdco discount; a value/arbitrage idea, not a 10x/100x growth thesis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Kama Holdings is a core investment company (ex-SRF Polymers, renamed 2010) whose principal asset is a ~50% promoter-group stake in SRF Ltd, a multi-business chemicals major (fluorochemicals/refrigerant gases, specialty chemicals, packaging films, technical textiles). It also holds small unlisted subsidiaries - Shri Educare (schools, incl. Maldives), Kama Realty, and SRF Transnational Holdings (NBFC). Consolidated financials simply pass through SRF; on a look-through basis Kama's own market cap (~Rs 8,143 Cr) sits at a large discount to the market value of its SRF holding.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8,143 Cr (SEBI: small-cap; economically tracks large-cap SRF)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 (consolidated = SRF)</w:t>
            </w:r>
          </w:p>
        </w:tc>
        <w:tc>
          <w:tcPr>
            <w:tcW w:type="dxa" w:w="5800"/>
          </w:tcPr>
          <w:p>
            <w:r>
              <w:t xml:space="preserve">17.7% / 18.1%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Holdco discount</w:t>
            </w:r>
          </w:p>
        </w:tc>
        <w:tc>
          <w:tcPr>
            <w:tcW w:type="dxa" w:w="5800"/>
          </w:tcPr>
          <w:p>
            <w:r>
              <w:t xml:space="preserve">~78-85% currently; historical low ~35% (Q3FY19), Bajaj Holdings comparable ~56%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Low at holdco level; consolidated leverage is SRF's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Trades at a discount to its own 3-yr historic valuation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underlying business quality is SRF's (17-18% ROCE/ROE, ~80% of profit now from chemicals vs ~33% five years ago). Kama has no independent operating growth engine - returns to a Kama shareholder are SRF's total return plus or minus any change in the holdco discount. Management is comparatively shareholder-friendly for a holdco: 4:1 bonus (2023), a buyback at ~Rs 14,500 (2023), preference-share redemptions, and periodic SRF stake trims with proceeds partly returned. Even so, dividend payout is low and cash has at times gone toward non-core subsidiaries.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CDMO / specialty &amp; aroma chemicals - fluorochemicals &amp; specialty intermediates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passive listed holding vehicle for a ~50% stake in SRF Ltd (fluorochemicals, specialty chemicals, packaging films, technical textiles)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none at the holdco; SRF's own fluorochemicals/ref-gas capacity is the economic node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SRF Ltd (direct), Navin Fluorine, Gujarat Fluorochemicals, Bajaj Holdings (holdco-discount comp)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Theme exposure is entirely indirect via SRF; Kama itself adds no manufacturing or value-chain position, only a discount.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not a Tier-A candidate. Community notes Kama often sits near its 52-week low while SRF is near its 52-week high (discount widens in SRF uptrends, narrows when SRF is flat/down - a backtested 9-year pattern per a forum regular).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read: most recent 50 of 69 posts (single batch, Jul-2022 to Aug-2026, no escalation). The entire thread is a holdco-discount arbitrage discussion - how wide the discount is, what could close it, and whether to hold Kama vs SRF directly. No growth debate. Recent (2026) posts centre on a planned ~3% SRF stake sale by March 2027 (~Rs 2,400 Cr, ~Rs 748/Kama share) as a possible re-rating / special-dividend trigger.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Several roster (elevated-tier) users active but none with a 10x/100x call - it is uniformly framed as value/arbitrage. Worldlywiseinvestors (21 loves) supplied the historical discount range and disclosed Kama as a top-3 family-PF allocation but 'no reco to buy or sell'. Charanjeev_Kohli (multiple posts) tracks stake sales / AGM questions and estimates the March-2027 sale nudges the discount only ~1.4pp lower by itself. prateekv (4 loves) laid out the cleanest bear-side risks: capital-allocation risk (cash into non-core rather than dividends) and market-impact risk on any large SRF sale. sahil_vi (8 loves) argued SRF's premium multiple is defensible given the chemicals-mix shift. No trusted_signals logged (no conviction-bearing calls).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Community-referenced only: periodic SRF stake trims (Rs ~200 Cr in Mar-2024, ~Rs 172-200 Cr tranche), the 2023 buyback that pushed promoter holding to ~75.15% (forcing later open-market sell-down), and the FY25 removal of Section 80M relief which double-taxes pass-through dividends and may pressure payout.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Discount is near the wide end of its own history (~78-85% vs a ~35% FY19 low and ~56% for Bajaj Holdings); any convergence toward peer levels implies ~2-2.5x on the holdco alone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Planned ~3% SRF stake sale by March 2027 (~Rs 2,400 Cr) is a concrete potential catalyst for a special dividend and partial re-rating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SRF underneath is a genuine 17-18% ROCE compounder with a chemicals-led mix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Shareholder-friendly capital-allocation track record for a holdco (bonus, buyback, pref redemptions)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independent growth - a Kama holder just owns SRF with a variable discount; SRF is a ~Rs 90,000 Cr+ major with no realistic 10x/2-3yr or 100x/10yr path, so neither does Kama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discount has structurally widened over the last decade rather than closed - the 'it must converge' thesis has repeatedly not paid 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Capital-allocation risk: dividend payout is low and cash has gone into non-core education/realty/NBFC subsidiaries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Section 80M removal makes pass-through dividends double-taxed, a headwind to the return-of-cash mechanism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Backtested pattern: the discount tends to widen exactly when SRF does well, capping participation in the upside case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8,143 Cr; economically large-cap via SRF)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underlying and a real 2027 stake-sale catalyst, but a holdco-discount arbitrage caps upside at ~2-3x - outside the open-screen 10x/100x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- recency discovery (kama-holdings surfaced via discover.py). Theme exposure to specialty/fluorochemicals is only look-through via SRF.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 realistic case is discount convergence toward a Bajaj-Holdings-like ~56% (~2-2.5x on the holdco) plus SRF's own compounding - a good value/arbitrage return, but not 10x-in-2-3-years and not 100x-in-10-years.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not qualify for the large-cap inflection exception: a holdco-discount narrowing is a valuation-gap event, not a named management or structural earnings-power inflection.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Medium: concrete March-2027 SRF-sale catalyst and a shareholder-friendly, honest management, offset by a decade of the discount widening rather than closing and capital-allocation-into-non-core risk.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2026-08-31T19:04:42.373Z</dcterms:created>
  <dcterms:modified xsi:type="dcterms:W3CDTF">2026-08-31T19:04:42.374Z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