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Kiri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Dyes/chemicals turnaround story on debt reduction and demand surge, but weak historical returns and an unresolved promoter-credibility concern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Kiri Industries is a dyes and dye-intermediates chemicals manufacturer, with the current forum thesis centered on a debt-reduction turnaround plus a demand surge in its core products.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2,821-2,826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2.75% (3-yr avg), 4.9% most recent — weak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+13.5%, but 5-yr sales growth -2.58% (poor)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Reduced, now near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262.1 - 453.9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Other</w:t>
            </w:r>
          </w:p>
        </w:tc>
        <w:tc>
          <w:tcPr>
            <w:tcW w:type="dxa" w:w="5800"/>
          </w:tcPr>
          <w:p>
            <w:r>
              <w:t xml:space="preserve">Debtor days improved 62.2 -&gt; 45.2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Weak historical quality — ROE of only 2.75-4.9% and negative 5-year sales growth (-2.58%) — but the current-year picture looks like an inflection: FY26 revenue +13.5%, debt materially reduced, and working capital (debtor days) improving. This reads as an early-stage turnaround rather than an already-proven quality compounder.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well off its 52-week high (Rs 453.9 vs current implied by mcap range, low Rs 262.1) — wide range suggests significant volatility tied to turnaround news flow.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(329 replies, last activity 2026-08-14) with the most recent post raising a specific, unresolved governance/credibility concern rather than pure optimism.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Sanket_Patole (2026-08-14 post, 2 loves) flagged that financial closure (debt funding) for the turnaround has not yet been achieved, and that promoters have a pattern of over-promising and missing deadlines without disclosing true timelines to minority shareholders — while acknowledging they've eventually delivered before, asked whether this is still a red flag given how much rides on securing this funding. posts_seen=1.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— no red-flag corporate actions (e.g. SEBI action) surfaced, but see community-flagged promoter-credibility concern above.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Clear turnaround inflection: FY26 revenue growth +13.5% after 5 years of decline, debt reduction, improving debtor days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Demand surge in core dye/chemicals products cited as the near-term catalyst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current valuation relative to history if the turnaround sticks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ROE (2.75-4.9%) is weak — this has not been a quality compounder, it's a bet on a turnaround actually completing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Financial closure for the debt funding underpinning the turnaround has not yet been achieved as of the latest post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specifically flags a pattern of promoter over-promising and non-transparent timelines — a credibility risk directly relevant to whether the turnaround thesis plays out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Small-mid-cap (~Rs 2,821-2,826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 is the only way this fits — purely as a speculative turnaround bet, not on demonstrated quality; weak historical ROE and an open promoter-credibility question mean this needs the debt funding and delivery to actually materialize first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Speculative turnaround, not a quality-gate pass yet — watch for financial closure news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historical ROE and negative 5-yr sales growth mean this fails the quality bar on trailing numbers alone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inflection (revenue +13.5%, debt reduction) is real but unproven as a multi-year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specific, reasoned community concern about promoter deadline credibility on the pending debt funding is a genuine near-term risk, not a dismissible nitpick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2026-08-21T17:00:21.363Z</dcterms:created>
  <dcterms:modified xsi:type="dcterms:W3CDTF">2026-08-21T17:00:21.368Z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