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Kitex Garments Ltd</w:t>
      </w:r>
    </w:p>
    <w:p>
      <w:pPr>
        <w:pBdr>
          <w:bottom w:val="single" w:color="CCCCCC" w:sz="6" w:space="8"/>
        </w:pBdr>
        <w:spacing w:after="200"/>
      </w:pPr>
      <w:r>
        <w:rPr>
          <w:i/>
          <w:iCs/>
          <w:color w:val="666666"/>
          <w:sz w:val="22"/>
          <w:szCs w:val="22"/>
        </w:rPr>
        <w:t xml:space="preserve">World's second-largest infant/children's cotton-garment maker — both trailing and most recent quarter are weak, with no confirmed catalyst, filtered ahead of a deep thread read</w:t>
      </w:r>
    </w:p>
    <w:p>
      <w:pPr>
        <w:pStyle w:val="Heading1"/>
        <w:spacing w:after="120" w:before="280"/>
      </w:pPr>
      <w:r>
        <w:t xml:space="preserve">Business Overview</w:t>
      </w:r>
    </w:p>
    <w:p>
      <w:pPr>
        <w:spacing w:after="120"/>
      </w:pPr>
      <w:r>
        <w:t xml:space="preserve">Kitex Garments (KGL) is the world's second-largest manufacturer of cotton and organic-cotton ready-to-wear garments for infants and children aged 0-24 months, based in Kerala, promoted by Sabu M Jacob. The company recently secured shareholder/creditor approval for a demerger of Kitex Childrenswear Ltd (July 2026) and announced a board-approved fundraising plan of up to Rs 3,000 Cr (Aug 2026).</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2,494 Cr</w:t>
            </w:r>
          </w:p>
        </w:tc>
      </w:tr>
      <w:tr>
        <w:tc>
          <w:tcPr>
            <w:tcW w:type="dxa" w:w="3200"/>
            <w:shd w:fill="F2F2F2" w:val="clear"/>
          </w:tcPr>
          <w:p>
            <w:r>
              <w:rPr>
                <w:b/>
                <w:bCs/>
              </w:rPr>
              <w:t xml:space="preserve">3-yr ROE</w:t>
            </w:r>
          </w:p>
        </w:tc>
        <w:tc>
          <w:tcPr>
            <w:tcW w:type="dxa" w:w="5800"/>
          </w:tcPr>
          <w:p>
            <w:r>
              <w:t xml:space="preserve">7.11% (weak)</w:t>
            </w:r>
          </w:p>
        </w:tc>
      </w:tr>
      <w:tr>
        <w:tc>
          <w:tcPr>
            <w:tcW w:type="dxa" w:w="3200"/>
            <w:shd w:fill="F2F2F2" w:val="clear"/>
          </w:tcPr>
          <w:p>
            <w:r>
              <w:rPr>
                <w:b/>
                <w:bCs/>
              </w:rPr>
              <w:t xml:space="preserve">5-yr revenue growth</w:t>
            </w:r>
          </w:p>
        </w:tc>
        <w:tc>
          <w:tcPr>
            <w:tcW w:type="dxa" w:w="5800"/>
          </w:tcPr>
          <w:p>
            <w:r>
              <w:t xml:space="preserve">7.93% (weak)</w:t>
            </w:r>
          </w:p>
        </w:tc>
      </w:tr>
      <w:tr>
        <w:tc>
          <w:tcPr>
            <w:tcW w:type="dxa" w:w="3200"/>
            <w:shd w:fill="F2F2F2" w:val="clear"/>
          </w:tcPr>
          <w:p>
            <w:r>
              <w:rPr>
                <w:b/>
                <w:bCs/>
              </w:rPr>
              <w:t xml:space="preserve">Q1 FY27 result</w:t>
            </w:r>
          </w:p>
        </w:tc>
        <w:tc>
          <w:tcPr>
            <w:tcW w:type="dxa" w:w="5800"/>
          </w:tcPr>
          <w:p>
            <w:r>
              <w:t xml:space="preserve">Revenue -19.46% YoY, consolidated loss of Rs 17.12 Cr</w:t>
            </w:r>
          </w:p>
        </w:tc>
      </w:tr>
      <w:tr>
        <w:tc>
          <w:tcPr>
            <w:tcW w:type="dxa" w:w="3200"/>
            <w:shd w:fill="F2F2F2" w:val="clear"/>
          </w:tcPr>
          <w:p>
            <w:r>
              <w:rPr>
                <w:b/>
                <w:bCs/>
              </w:rPr>
              <w:t xml:space="preserve">Regulatory status</w:t>
            </w:r>
          </w:p>
        </w:tc>
        <w:tc>
          <w:tcPr>
            <w:tcW w:type="dxa" w:w="5800"/>
          </w:tcPr>
          <w:p>
            <w:r>
              <w:t xml:space="preserve">Exited ASM surveillance March 2026</w:t>
            </w:r>
          </w:p>
        </w:tc>
      </w:tr>
    </w:tbl>
    <w:p>
      <w:pPr>
        <w:spacing w:after="100"/>
      </w:pPr>
    </w:p>
    <w:p>
      <w:pPr>
        <w:spacing w:after="120"/>
      </w:pPr>
      <w:r>
        <w:t xml:space="preserve">Both the trailing multi-year average (7.11% 3-yr ROE, 7.93% 5-yr revenue growth) and the most recent quarter (Q1 FY27: revenue down 19.46% YoY, a consolidated loss of Rs 17.12 Cr) are weak, with no confirmed positive catalyst offsetting either. A Rs 3,000 Cr fundraising plan (announced Aug 14, 2026) and a Kitex Childrenswear demerger (approved July 2026) represent major structural changes underway, but these are dilutive/restructuring events rather than a demonstrated growth catalyst as of this scan.</w:t>
      </w:r>
    </w:p>
    <w:p>
      <w:pPr>
        <w:pStyle w:val="Heading1"/>
        <w:spacing w:after="120" w:before="280"/>
      </w:pPr>
      <w:r>
        <w:t xml:space="preserve">Technical Read (Weekly / Monthly MACD + Bollinger Bands, or RSI/CCI/Williams %R proxy)</w:t>
      </w:r>
    </w:p>
    <w:p>
      <w:pPr>
        <w:spacing w:after="120"/>
      </w:pPr>
      <w:r>
        <w:t xml:space="preserve">Not pulled — filtered before this step.</w:t>
      </w:r>
    </w:p>
    <w:p>
      <w:pPr>
        <w:pStyle w:val="Heading1"/>
        <w:spacing w:after="120" w:before="280"/>
      </w:pPr>
      <w:r>
        <w:t xml:space="preserve">ValuePickr Community Signal</w:t>
      </w:r>
    </w:p>
    <w:p>
      <w:pPr>
        <w:spacing w:after="120"/>
      </w:pPr>
      <w:r>
        <w:t xml:space="preserve">Not assessed this pass — filtered before the deep ValuePickr thread read.</w:t>
      </w:r>
    </w:p>
    <w:p>
      <w:pPr>
        <w:spacing w:after="120"/>
      </w:pPr>
      <w:r>
        <w:rPr>
          <w:b/>
          <w:bCs/>
          <w:sz w:val="20"/>
          <w:szCs w:val="20"/>
        </w:rPr>
        <w:t xml:space="preserve">High-conviction call from a top contributor: </w:t>
      </w:r>
      <w:r>
        <w:rPr>
          <w:sz w:val="20"/>
          <w:szCs w:val="20"/>
        </w:rPr>
        <w:t xml:space="preserve">phreakv6 (trusted, in his own thread) grouped Kitex with Mtar and Aeroflex as newer, smaller positions taken around current levels, but explicitly noted the company's 'chequered promoter history' himself and had not reconfirmed the position status in later posts as of the source excerpt available.</w:t>
      </w:r>
    </w:p>
    <w:p>
      <w:pPr>
        <w:pStyle w:val="Heading1"/>
        <w:spacing w:after="120" w:before="280"/>
      </w:pPr>
      <w:r>
        <w:t xml:space="preserve">BSE Corporate Actions / Other Red Flags</w:t>
      </w:r>
    </w:p>
    <w:p>
      <w:pPr>
        <w:spacing w:after="120"/>
      </w:pPr>
      <w:r>
        <w:t xml:space="preserve">No active SEBI/regulatory action found this pass. Company exited Short-term ASM (Additional Surveillance Measure) in March 2026 — a past caution flag that has since been resolved.</w:t>
      </w:r>
    </w:p>
    <w:p>
      <w:pPr>
        <w:pStyle w:val="Heading1"/>
        <w:spacing w:after="120" w:before="280"/>
      </w:pPr>
      <w:r>
        <w:t xml:space="preserve">Bull Case</w:t>
      </w:r>
    </w:p>
    <w:p>
      <w:pPr>
        <w:pStyle w:val="ListParagraph"/>
        <w:numPr>
          <w:ilvl w:val="0"/>
          <w:numId w:val="1"/>
        </w:numPr>
        <w:spacing w:after="60"/>
      </w:pPr>
      <w:r>
        <w:t xml:space="preserve">Established global scale (world's #2 in its niche category) with a recognized promoter-led brand</w:t>
      </w:r>
    </w:p>
    <w:p>
      <w:pPr>
        <w:pStyle w:val="ListParagraph"/>
        <w:numPr>
          <w:ilvl w:val="0"/>
          <w:numId w:val="1"/>
        </w:numPr>
        <w:spacing w:after="60"/>
      </w:pPr>
      <w:r>
        <w:t xml:space="preserve">Rs 3,000 Cr fundraising plan signals ambition for a step-change in capacity, if executed well</w:t>
      </w:r>
    </w:p>
    <w:p>
      <w:pPr>
        <w:pStyle w:val="Heading1"/>
        <w:spacing w:after="120" w:before="280"/>
      </w:pPr>
      <w:r>
        <w:t xml:space="preserve">Bear Case / Key Risks</w:t>
      </w:r>
    </w:p>
    <w:p>
      <w:pPr>
        <w:pStyle w:val="ListParagraph"/>
        <w:numPr>
          <w:ilvl w:val="0"/>
          <w:numId w:val="1"/>
        </w:numPr>
        <w:spacing w:after="60"/>
      </w:pPr>
      <w:r>
        <w:t xml:space="preserve">Both trailing (7.11% ROE, 7.93% revenue growth) and most recent quarter (revenue -19.46%, a loss) are weak — no confirmed inflection to offset the weak average</w:t>
      </w:r>
    </w:p>
    <w:p>
      <w:pPr>
        <w:pStyle w:val="ListParagraph"/>
        <w:numPr>
          <w:ilvl w:val="0"/>
          <w:numId w:val="1"/>
        </w:numPr>
        <w:spacing w:after="60"/>
      </w:pPr>
      <w:r>
        <w:t xml:space="preserve">The Childrenswear demerger and Rs 3,000 Cr fundraise represent major structural uncertainty (dilution, new entity structure) rather than a clear operating catalyst as of this scan</w:t>
      </w:r>
    </w:p>
    <w:p>
      <w:pPr>
        <w:pStyle w:val="ListParagraph"/>
        <w:numPr>
          <w:ilvl w:val="0"/>
          <w:numId w:val="1"/>
        </w:numPr>
        <w:spacing w:after="60"/>
      </w:pPr>
      <w:r>
        <w:t xml:space="preserve">phreakv6 himself flagged 'chequered promoter history' when discussing this name, and had not reconfirmed his position status in later posts</w:t>
      </w:r>
    </w:p>
    <w:p>
      <w:pPr>
        <w:pStyle w:val="Heading1"/>
        <w:spacing w:after="120" w:before="280"/>
      </w:pPr>
      <w:r>
        <w:t xml:space="preserve">Market-Cap Tier (informational — not a gate in this project)</w:t>
      </w:r>
    </w:p>
    <w:p>
      <w:pPr>
        <w:spacing w:after="120"/>
      </w:pPr>
      <w:r>
        <w:rPr>
          <w:b/>
          <w:bCs/>
        </w:rPr>
        <w:t xml:space="preserve">Small-cap (~Rs 2,494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Filtered out — weak on both trailing and most recent numbers, with no confirmed catalyst yet</w:t>
      </w:r>
    </w:p>
    <w:p>
      <w:pPr>
        <w:pStyle w:val="ListParagraph"/>
        <w:numPr>
          <w:ilvl w:val="0"/>
          <w:numId w:val="1"/>
        </w:numPr>
        <w:spacing w:after="60"/>
      </w:pPr>
      <w:r>
        <w:t xml:space="preserve">Per this project's Step 3 filter rules, when both the trailing average AND the recent-quarter trend are weak with no catalyst, and the trusted mention is 'high' (not 'very-high') strength, the stock is filtered before a deep thread read</w:t>
      </w:r>
    </w:p>
    <w:p>
      <w:pPr>
        <w:pStyle w:val="ListParagraph"/>
        <w:numPr>
          <w:ilvl w:val="0"/>
          <w:numId w:val="1"/>
        </w:numPr>
        <w:spacing w:after="60"/>
      </w:pPr>
      <w:r>
        <w:t xml:space="preserve">The pending demerger and large fundraise are worth a fresh look in a future run once their terms and initial execution are clearer — right now they're an open structural question, not a demonstrated positive</w:t>
      </w:r>
    </w:p>
    <w:p>
      <w:pPr>
        <w:pStyle w:val="ListParagraph"/>
        <w:numPr>
          <w:ilvl w:val="0"/>
          <w:numId w:val="1"/>
        </w:numPr>
        <w:spacing w:after="60"/>
      </w:pPr>
      <w:r>
        <w:t xml:space="preserve">phreakv6's own caveat about 'chequered promoter history' reinforces caution rather than urgency to dig deeper now</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2026-08-22T13:27:53.612Z</dcterms:created>
  <dcterms:modified xsi:type="dcterms:W3CDTF">2026-08-22T13:27:53.614Z</dcterms:modified>
</cp:coreProperties>
</file>

<file path=docProps/custom.xml><?xml version="1.0" encoding="utf-8"?>
<Properties xmlns="http://schemas.openxmlformats.org/officeDocument/2006/custom-properties" xmlns:vt="http://schemas.openxmlformats.org/officeDocument/2006/docPropsVTypes"/>
</file>