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Krsnaa Diagnostics Ltd</w:t>
      </w:r>
    </w:p>
    <w:p>
      <w:pPr>
        <w:pBdr>
          <w:bottom w:val="single" w:color="CCCCCC" w:sz="6" w:space="8"/>
        </w:pBdr>
        <w:spacing w:after="200"/>
      </w:pPr>
      <w:r>
        <w:rPr>
          <w:i/>
          <w:iCs/>
          <w:color w:val="666666"/>
          <w:sz w:val="22"/>
          <w:szCs w:val="22"/>
        </w:rPr>
        <w:t xml:space="preserve">Accelerating B2C/retail diagnostics growth undercut by an auditor-flagged receivables red flag and two CXO exits</w:t>
      </w:r>
    </w:p>
    <w:p>
      <w:pPr>
        <w:shd w:fill="FFF0F0" w:val="clear"/>
        <w:spacing w:after="200"/>
      </w:pPr>
      <w:r>
        <w:rPr>
          <w:b/>
          <w:bCs/>
          <w:color w:val="B8860B"/>
          <w:sz w:val="22"/>
          <w:szCs w:val="22"/>
        </w:rPr>
        <w:t xml:space="preserve">RED FLAG TIER: HIGH CAUTION — </w:t>
      </w:r>
      <w:r>
        <w:rPr>
          <w:sz w:val="20"/>
          <w:szCs w:val="20"/>
        </w:rPr>
        <w:t xml:space="preserve">FY25 statutory auditor formally flagged ballooning trade receivables (growing 3.6x faster than revenue) as a Key Audit Matter, compounded by consecutive CFO and Head-of-IR resignations within months and a trusted, previously invested user's explicit exit citing management-bandwidth and promoter-communication concerns.</w:t>
      </w:r>
    </w:p>
    <w:p>
      <w:pPr>
        <w:pStyle w:val="Heading1"/>
        <w:spacing w:after="120" w:before="280"/>
      </w:pPr>
      <w:r>
        <w:t xml:space="preserve">Business Overview</w:t>
      </w:r>
    </w:p>
    <w:p>
      <w:pPr>
        <w:spacing w:after="120"/>
      </w:pPr>
      <w:r>
        <w:t xml:space="preserve">Krsnaa Diagnostics operates radiology (CT/MRI) and pathology diagnostic centers, primarily via government (B2G) PPP contracts across 18 Indian states, with a newer, rapidly scaling retail B2C segment (RPL).</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1,783 Cr</w:t>
            </w:r>
          </w:p>
        </w:tc>
      </w:tr>
      <w:tr>
        <w:tc>
          <w:tcPr>
            <w:tcW w:type="dxa" w:w="3200"/>
            <w:shd w:fill="F2F2F2" w:val="clear"/>
          </w:tcPr>
          <w:p>
            <w:r>
              <w:rPr>
                <w:b/>
                <w:bCs/>
              </w:rPr>
              <w:t xml:space="preserve">ROCE / ROE</w:t>
            </w:r>
          </w:p>
        </w:tc>
        <w:tc>
          <w:tcPr>
            <w:tcW w:type="dxa" w:w="5800"/>
          </w:tcPr>
          <w:p>
            <w:r>
              <w:t xml:space="preserve">13.09% / 9.34% (3yr)</w:t>
            </w:r>
          </w:p>
        </w:tc>
      </w:tr>
      <w:tr>
        <w:tc>
          <w:tcPr>
            <w:tcW w:type="dxa" w:w="3200"/>
            <w:shd w:fill="F2F2F2" w:val="clear"/>
          </w:tcPr>
          <w:p>
            <w:r>
              <w:rPr>
                <w:b/>
                <w:bCs/>
              </w:rPr>
              <w:t xml:space="preserve">Revenue growth</w:t>
            </w:r>
          </w:p>
        </w:tc>
        <w:tc>
          <w:tcPr>
            <w:tcW w:type="dxa" w:w="5800"/>
          </w:tcPr>
          <w:p>
            <w:r>
              <w:t xml:space="preserve">Poor 5yr CAGR (~11.8%) but recent YoY acceleration to ~27.2%</w:t>
            </w:r>
          </w:p>
        </w:tc>
      </w:tr>
      <w:tr>
        <w:tc>
          <w:tcPr>
            <w:tcW w:type="dxa" w:w="3200"/>
            <w:shd w:fill="F2F2F2" w:val="clear"/>
          </w:tcPr>
          <w:p>
            <w:r>
              <w:rPr>
                <w:b/>
                <w:bCs/>
              </w:rPr>
              <w:t xml:space="preserve">Debt/Equity</w:t>
            </w:r>
          </w:p>
        </w:tc>
        <w:tc>
          <w:tcPr>
            <w:tcW w:type="dxa" w:w="5800"/>
          </w:tcPr>
          <w:p>
            <w:r>
              <w:t xml:space="preserve">0.23</w:t>
            </w:r>
          </w:p>
        </w:tc>
      </w:tr>
      <w:tr>
        <w:tc>
          <w:tcPr>
            <w:tcW w:type="dxa" w:w="3200"/>
            <w:shd w:fill="F2F2F2" w:val="clear"/>
          </w:tcPr>
          <w:p>
            <w:r>
              <w:rPr>
                <w:b/>
                <w:bCs/>
              </w:rPr>
              <w:t xml:space="preserve">52-week range</w:t>
            </w:r>
          </w:p>
        </w:tc>
        <w:tc>
          <w:tcPr>
            <w:tcW w:type="dxa" w:w="5800"/>
          </w:tcPr>
          <w:p>
            <w:r>
              <w:t xml:space="preserve">Rs 515 - 894 (varies by source/period)</w:t>
            </w:r>
          </w:p>
        </w:tc>
      </w:tr>
    </w:tbl>
    <w:p>
      <w:pPr>
        <w:spacing w:after="100"/>
      </w:pPr>
    </w:p>
    <w:p>
      <w:pPr>
        <w:spacing w:after="120"/>
      </w:pPr>
      <w:r>
        <w:t xml:space="preserve">A real recent-quarter growth inflection (revenue accelerating to ~27% YoY vs a weak ~12% 5yr trailing CAGR) driven by rapid retail/B2C pathology lab scaling (6 to 33 reference labs within a year), but this sits alongside a genuine, auditor-flagged working-capital deterioration.</w:t>
      </w:r>
    </w:p>
    <w:p>
      <w:pPr>
        <w:pStyle w:val="Heading1"/>
        <w:spacing w:after="120" w:before="280"/>
      </w:pPr>
      <w:r>
        <w:t xml:space="preserve">Technical Read (Weekly / Monthly MACD + Bollinger Bands, or RSI/CCI/Williams %R proxy)</w:t>
      </w:r>
    </w:p>
    <w:p>
      <w:pPr>
        <w:spacing w:after="120"/>
      </w:pPr>
      <w:r>
        <w:t xml:space="preserve">Not independently charted this pass.</w:t>
      </w:r>
    </w:p>
    <w:p>
      <w:pPr>
        <w:pStyle w:val="Heading1"/>
        <w:spacing w:after="120" w:before="280"/>
      </w:pPr>
      <w:r>
        <w:t xml:space="preserve">ValuePickr Community Signal</w:t>
      </w:r>
    </w:p>
    <w:p>
      <w:pPr>
        <w:spacing w:after="120"/>
      </w:pPr>
      <w:r>
        <w:t xml:space="preserve">Read the most recent 50 of 460 fetched posts (2025-02 to 2026-08), single batch (first-time read, most active/recent window only given the very long 460-post thread). Sentiment has been persistently split between growth-focused trusted trackers (ranvir) delivering positive quarterly concall summaries and a more skeptical trusted voice (VALUE2017) who explicitly exited the position and has flagged a worsening pattern: ballooning receivables, two consecutive CXO resignations (CFO, then Head of IR), and a promoter who rarely speaks on concalls. The FY25 Annual Report's own statutory auditor flagged trade receivables (which grew 3.6x faster than revenue) as a formal Key Audit Matter -- a credible, documented red flag rather than mere forum speculation.</w:t>
      </w:r>
    </w:p>
    <w:p>
      <w:pPr>
        <w:spacing w:after="120"/>
      </w:pPr>
      <w:r>
        <w:rPr>
          <w:b/>
          <w:bCs/>
          <w:sz w:val="20"/>
          <w:szCs w:val="20"/>
        </w:rPr>
        <w:t xml:space="preserve">High-conviction call from a top contributor: </w:t>
      </w:r>
      <w:r>
        <w:rPr>
          <w:sz w:val="20"/>
          <w:szCs w:val="20"/>
        </w:rPr>
        <w:t xml:space="preserve">ranvir (trusted, elevated) has consistently delivered detailed, well-received quarterly concall summaries through Q1 FY27 (Aug 2026), tracking real segment growth (retail centers, Rajasthan tender execution). VALUE2017 (trusted, elevated, exited) raised the most serious concerns: working-capital borrowings up from Rs 5.5 Cr (Mar-23) to Rs 147 Cr (Mar-25), receivables nearly tripling in step with sales, CFO resignation (Feb 2026) followed by Head of Investor Relations resignation, and persistent criticism that promoter Rajendra Mutha almost never speaks on calls. StonePitbull (trusted, elevated) independently corroborated the auditor's Key Audit Matter flag on receivables from the FY25 Annual Report, and separately flagged a promoter-group warrant issue (16.21 lakh warrants at Rs 565) that would raise promoter stake from ~27.1% toward 30.6%.</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2026-03-31 — VALUE2017</w:t>
      </w:r>
      <w:r>
        <w:rPr>
          <w:i/>
          <w:iCs/>
          <w:color w:val="666666"/>
          <w:sz w:val="18"/>
          <w:szCs w:val="18"/>
        </w:rPr>
        <w:t xml:space="preserve"> (Krsnaa Diagnostics)</w:t>
      </w:r>
      <w:r>
        <w:rPr>
          <w:sz w:val="20"/>
          <w:szCs w:val="20"/>
        </w:rPr>
        <w:br/>
        <w:t xml:space="preserve">: Following the CFO resignation, the Head of Investor Relations also resigned -- a second consecutive senior-finance/IR departure.</w:t>
      </w:r>
    </w:p>
    <w:p>
      <w:pPr>
        <w:spacing w:after="100"/>
      </w:pPr>
      <w:r>
        <w:rPr>
          <w:b/>
          <w:bCs/>
          <w:sz w:val="20"/>
          <w:szCs w:val="20"/>
        </w:rPr>
        <w:t xml:space="preserve">2025-10-19 — StonePitbull</w:t>
      </w:r>
      <w:r>
        <w:rPr>
          <w:i/>
          <w:iCs/>
          <w:color w:val="666666"/>
          <w:sz w:val="18"/>
          <w:szCs w:val="18"/>
        </w:rPr>
        <w:t xml:space="preserve"> (Krsnaa Diagnostics)</w:t>
      </w:r>
      <w:r>
        <w:rPr>
          <w:sz w:val="20"/>
          <w:szCs w:val="20"/>
        </w:rPr>
        <w:br/>
        <w:t xml:space="preserve">: FY25 Annual Report's statutory auditor flagged ballooning trade receivables (grew 3.6x faster than revenue) as a formal Key Audit Matter.</w:t>
      </w:r>
    </w:p>
    <w:p>
      <w:pPr>
        <w:spacing w:after="100"/>
      </w:pPr>
      <w:r>
        <w:rPr>
          <w:b/>
          <w:bCs/>
          <w:sz w:val="20"/>
          <w:szCs w:val="20"/>
        </w:rPr>
        <w:t xml:space="preserve">2026-02-14 — VALUE2017</w:t>
      </w:r>
      <w:r>
        <w:rPr>
          <w:i/>
          <w:iCs/>
          <w:color w:val="666666"/>
          <w:sz w:val="18"/>
          <w:szCs w:val="18"/>
        </w:rPr>
        <w:t xml:space="preserve"> (Krsnaa Diagnostics)</w:t>
      </w:r>
      <w:r>
        <w:rPr>
          <w:sz w:val="20"/>
          <w:szCs w:val="20"/>
        </w:rPr>
        <w:br/>
        <w:t xml:space="preserve">: CFO resigned; flagged promoter Rajendra Mutha as barely speaking on concalls despite 27% stake, with Yash Mutha (no personal stake) actually running the business.</w:t>
      </w:r>
    </w:p>
    <w:p>
      <w:pPr>
        <w:pStyle w:val="Heading1"/>
        <w:spacing w:after="120" w:before="280"/>
      </w:pPr>
      <w:r>
        <w:t xml:space="preserve">BSE Corporate Actions / Other Red Flags</w:t>
      </w:r>
    </w:p>
    <w:p>
      <w:pPr>
        <w:spacing w:after="120"/>
      </w:pPr>
      <w:r>
        <w:t xml:space="preserve">Not independently checked this pass.</w:t>
      </w:r>
    </w:p>
    <w:p>
      <w:pPr>
        <w:pStyle w:val="Heading1"/>
        <w:spacing w:after="120" w:before="280"/>
      </w:pPr>
      <w:r>
        <w:t xml:space="preserve">Bull Case</w:t>
      </w:r>
    </w:p>
    <w:p>
      <w:pPr>
        <w:pStyle w:val="ListParagraph"/>
        <w:numPr>
          <w:ilvl w:val="0"/>
          <w:numId w:val="1"/>
        </w:numPr>
        <w:spacing w:after="60"/>
      </w:pPr>
      <w:r>
        <w:t xml:space="preserve">Genuine recent-quarter growth acceleration (~27% YoY revenue vs ~12% 5yr trailing) driven by rapid retail/B2C diagnostic center scaling</w:t>
      </w:r>
    </w:p>
    <w:p>
      <w:pPr>
        <w:pStyle w:val="ListParagraph"/>
        <w:numPr>
          <w:ilvl w:val="0"/>
          <w:numId w:val="1"/>
        </w:numPr>
        <w:spacing w:after="60"/>
      </w:pPr>
      <w:r>
        <w:t xml:space="preserve">Pathology reference labs grew from 6 to 33 within roughly a year, and MRI/CT centers are on track to exceed 200 by early 2026</w:t>
      </w:r>
    </w:p>
    <w:p>
      <w:pPr>
        <w:pStyle w:val="ListParagraph"/>
        <w:numPr>
          <w:ilvl w:val="0"/>
          <w:numId w:val="1"/>
        </w:numPr>
        <w:spacing w:after="60"/>
      </w:pPr>
      <w:r>
        <w:t xml:space="preserve">Low leverage (D/E 0.23) provides balance-sheet flexibility</w:t>
      </w:r>
    </w:p>
    <w:p>
      <w:pPr>
        <w:pStyle w:val="Heading1"/>
        <w:spacing w:after="120" w:before="280"/>
      </w:pPr>
      <w:r>
        <w:t xml:space="preserve">Bear Case / Key Risks</w:t>
      </w:r>
    </w:p>
    <w:p>
      <w:pPr>
        <w:pStyle w:val="ListParagraph"/>
        <w:numPr>
          <w:ilvl w:val="0"/>
          <w:numId w:val="1"/>
        </w:numPr>
        <w:spacing w:after="60"/>
      </w:pPr>
      <w:r>
        <w:t xml:space="preserve">Statutory auditor formally flagged ballooning trade receivables as a Key Audit Matter in the FY25 Annual Report -- a documented, credible governance/working-capital red flag, not just forum speculation</w:t>
      </w:r>
    </w:p>
    <w:p>
      <w:pPr>
        <w:pStyle w:val="ListParagraph"/>
        <w:numPr>
          <w:ilvl w:val="0"/>
          <w:numId w:val="1"/>
        </w:numPr>
        <w:spacing w:after="60"/>
      </w:pPr>
      <w:r>
        <w:t xml:space="preserve">Two consecutive senior departures (CFO, then Head of Investor Relations) within months of each other</w:t>
      </w:r>
    </w:p>
    <w:p>
      <w:pPr>
        <w:pStyle w:val="ListParagraph"/>
        <w:numPr>
          <w:ilvl w:val="0"/>
          <w:numId w:val="1"/>
        </w:numPr>
        <w:spacing w:after="60"/>
      </w:pPr>
      <w:r>
        <w:t xml:space="preserve">A heavily engaged, previously invested trusted user (VALUE2017) has explicitly exited and repeatedly flagged management-bandwidth and promoter-communication concerns</w:t>
      </w:r>
    </w:p>
    <w:p>
      <w:pPr>
        <w:pStyle w:val="ListParagraph"/>
        <w:numPr>
          <w:ilvl w:val="0"/>
          <w:numId w:val="1"/>
        </w:numPr>
        <w:spacing w:after="60"/>
      </w:pPr>
      <w:r>
        <w:t xml:space="preserve">B2G (government) revenue exposure carries real payment-delay/political risk, evidenced by a Karnataka funding dispute halting services in 13 hospitals</w:t>
      </w:r>
    </w:p>
    <w:p>
      <w:pPr>
        <w:pStyle w:val="Heading1"/>
        <w:spacing w:after="120" w:before="280"/>
      </w:pPr>
      <w:r>
        <w:t xml:space="preserve">Market-Cap Tier (informational — not a gate in this project)</w:t>
      </w:r>
    </w:p>
    <w:p>
      <w:pPr>
        <w:spacing w:after="120"/>
      </w:pPr>
      <w:r>
        <w:rPr>
          <w:b/>
          <w:bCs/>
        </w:rPr>
        <w:t xml:space="preserve">Small-cap (~Rs 1,783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A real B2C-driven growth inflection, materially tempered by an auditor-flagged receivables red flag and consecutive CXO exits</w:t>
      </w:r>
    </w:p>
    <w:p>
      <w:pPr>
        <w:pStyle w:val="ListParagraph"/>
        <w:numPr>
          <w:ilvl w:val="0"/>
          <w:numId w:val="1"/>
        </w:numPr>
        <w:spacing w:after="60"/>
      </w:pPr>
      <w:r>
        <w:t xml:space="preserve">The recent-quarter growth acceleration is genuine and specific (retail segment scaling, concrete center-count growth), fitting the 'hidden inflection' pattern -- but this is weighed against a documented, auditor-confirmed working-capital red flag, not merely a trailing-average concern</w:t>
      </w:r>
    </w:p>
    <w:p>
      <w:pPr>
        <w:pStyle w:val="ListParagraph"/>
        <w:numPr>
          <w:ilvl w:val="0"/>
          <w:numId w:val="1"/>
        </w:numPr>
        <w:spacing w:after="60"/>
      </w:pPr>
      <w:r>
        <w:t xml:space="preserve">HIGH CAUTION tier applied given the combination of a formal Key Audit Matter on receivables, two consecutive senior finance/IR resignations, and an explicit trusted-user exit citing management-bandwidth concerns -- more serious than a routine business risk</w:t>
      </w:r>
    </w:p>
    <w:p>
      <w:pPr>
        <w:pStyle w:val="ListParagraph"/>
        <w:numPr>
          <w:ilvl w:val="0"/>
          <w:numId w:val="1"/>
        </w:numPr>
        <w:spacing w:after="60"/>
      </w:pPr>
      <w:r>
        <w:t xml:space="preserve">Low-Medium conviction: genuine growth engine, but credible, multi-pronged governance/working-capital concerns from engaged trusted voices keep this from a higher conviction absent management addressing the receivables issue directly</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2026-08-26T18:11:43.371Z</dcterms:created>
  <dcterms:modified xsi:type="dcterms:W3CDTF">2026-08-26T18:11:43.372Z</dcterms:modified>
</cp:coreProperties>
</file>

<file path=docProps/custom.xml><?xml version="1.0" encoding="utf-8"?>
<Properties xmlns="http://schemas.openxmlformats.org/officeDocument/2006/custom-properties" xmlns:vt="http://schemas.openxmlformats.org/officeDocument/2006/docPropsVTypes"/>
</file>